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6BE3417" w14:textId="77777777" w:rsidR="009B191D" w:rsidRPr="009B191D" w:rsidRDefault="009B191D" w:rsidP="009B191D">
      <w:pPr>
        <w:jc w:val="center"/>
      </w:pPr>
      <w:r w:rsidRPr="009B191D">
        <w:t>Human Genetic Modifications and Filial Morality</w:t>
      </w:r>
    </w:p>
    <w:p w14:paraId="69965E4C" w14:textId="0144F31A" w:rsidR="009B191D" w:rsidRPr="009B191D" w:rsidRDefault="009B191D" w:rsidP="004077D0">
      <w:pPr>
        <w:jc w:val="center"/>
      </w:pPr>
      <w:r w:rsidRPr="009B191D">
        <w:t>William Soderberg June 2018</w:t>
      </w:r>
    </w:p>
    <w:p w14:paraId="48AC84F1" w14:textId="5330AFEA" w:rsidR="009B191D" w:rsidRPr="009B191D" w:rsidRDefault="009B191D" w:rsidP="009B191D">
      <w:r w:rsidRPr="009B191D">
        <w:t xml:space="preserve">ABSTRACT. Ordinary intuitions that accompany the kinds of human genetic modification contemplated in a recent National Academies of Sciences, Engineering, and Medicine report, </w:t>
      </w:r>
      <w:r w:rsidRPr="009B191D">
        <w:drawing>
          <wp:inline distT="0" distB="0" distL="0" distR="0" wp14:anchorId="15C689F5" wp14:editId="724DF018">
            <wp:extent cx="9525" cy="9525"/>
            <wp:effectExtent l="0" t="0" r="0" b="0"/>
            <wp:docPr id="2137034480"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21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9B191D">
        <w:t xml:space="preserve">"The Ethics of Human Gene Editing," may require a move into new moral territory. Some principle-based moral theories in the utilitarian and libertarian traditions support the genetic enhancement of human offspring. I introduce a "filial theory of morality" that focuses on the moral development of the child, a focus that would justify prohibiting the genetic enhancement of children. This filial theory flows from the recognition of an implicit </w:t>
      </w:r>
      <w:proofErr w:type="gramStart"/>
      <w:r w:rsidRPr="009B191D">
        <w:t>existential choice—a</w:t>
      </w:r>
      <w:proofErr w:type="gramEnd"/>
      <w:r w:rsidRPr="009B191D">
        <w:t xml:space="preserve"> choice to survive—in some relation-based theories of communitarian, virtue, and care ethics and an appreciation of its tacit role within John Rawls' principle-based theory of justice</w:t>
      </w:r>
      <w:r w:rsidR="0015755D">
        <w:t>.</w:t>
      </w:r>
      <w:r w:rsidRPr="009B191D">
        <w:t xml:space="preserve"> When the impact of genetic enhancements on the parent-child relationship is examined from the perspective of filial morality, a case can be made that genetic therapy is defensible but enhancement of genetic conditions in human offspring is indefensible.</w:t>
      </w:r>
    </w:p>
    <w:p w14:paraId="1D74EAA5" w14:textId="77777777" w:rsidR="009B191D" w:rsidRPr="009B191D" w:rsidRDefault="009B191D" w:rsidP="009B191D">
      <w:r w:rsidRPr="009B191D">
        <w:t>ORDINARY INTUITIONS</w:t>
      </w:r>
    </w:p>
    <w:p w14:paraId="295A6E4C" w14:textId="77777777" w:rsidR="009B191D" w:rsidRPr="009B191D" w:rsidRDefault="009B191D" w:rsidP="009B191D">
      <w:r w:rsidRPr="009B191D">
        <w:t xml:space="preserve">Twenty years </w:t>
      </w:r>
      <w:proofErr w:type="gramStart"/>
      <w:r w:rsidRPr="009B191D">
        <w:t>ago</w:t>
      </w:r>
      <w:proofErr w:type="gramEnd"/>
      <w:r w:rsidRPr="009B191D">
        <w:t xml:space="preserve"> a major contribution to the debate over human genetic modifications appeared in a volume published by LeRoy Walters and Julie Palmer, </w:t>
      </w:r>
      <w:r w:rsidRPr="009B191D">
        <w:rPr>
          <w:i/>
          <w:iCs/>
        </w:rPr>
        <w:t>The Ethics of Human Gene Therapy</w:t>
      </w:r>
      <w:r w:rsidRPr="009B191D">
        <w:t>, (Walters and Palmer 1997). In 1997, most of the practices Walters and Palmer described and evaluated were futuristic. Their book aimed to stimulate public debate in advance of the development of many of the genetic modification techniques.</w:t>
      </w:r>
    </w:p>
    <w:p w14:paraId="0D460F7C" w14:textId="77777777" w:rsidR="009B191D" w:rsidRPr="009B191D" w:rsidRDefault="009B191D" w:rsidP="009B191D">
      <w:r w:rsidRPr="009B191D">
        <w:t>A recent National Academies of Sciences, Engineering, and Medicine (NASEM) report (NASEM 2017) has shown that some of the applications Walters and Palmer discussed have come much closer to reality through the techniques described as gene editing, increasing the urgency for public debate.</w:t>
      </w:r>
    </w:p>
    <w:p w14:paraId="73B54DA5" w14:textId="47E0DBE9" w:rsidR="009B191D" w:rsidRPr="009B191D" w:rsidRDefault="009B191D" w:rsidP="009B191D">
      <w:r w:rsidRPr="009B191D">
        <w:t>In both the Walters and Palmer volume and the NASEM report, a direct link is made between public concerns over human genetic modification and the moral lessons of past attempts to use genetics to improve human beings through eugenics</w:t>
      </w:r>
      <w:r w:rsidR="0015755D">
        <w:t>.</w:t>
      </w:r>
      <w:r w:rsidRPr="009B191D">
        <w:t xml:space="preserve"> Walters and Palmer, for example, cite the racist and discriminatory features of the eugenics movement in the first decades of the twentieth century </w:t>
      </w:r>
      <w:proofErr w:type="gramStart"/>
      <w:r w:rsidRPr="009B191D">
        <w:t>in order to</w:t>
      </w:r>
      <w:proofErr w:type="gramEnd"/>
      <w:r w:rsidRPr="009B191D">
        <w:t xml:space="preserve"> draw a sharp line between voluntary and mandatory programs of human genetic modification. They favor voluntary participation but reject state-mandated programs</w:t>
      </w:r>
      <w:r w:rsidR="0015755D">
        <w:t>.</w:t>
      </w:r>
      <w:r w:rsidRPr="009B191D">
        <w:t xml:space="preserve"> Any enhancement of cognitive abilities should protect from abuse the defenseless— such as children—and seek to improve the well-being of the least </w:t>
      </w:r>
      <w:proofErr w:type="gramStart"/>
      <w:r w:rsidRPr="009B191D">
        <w:t>well off</w:t>
      </w:r>
      <w:proofErr w:type="gramEnd"/>
      <w:r w:rsidRPr="009B191D">
        <w:t xml:space="preserve"> (Walters and Palmer 1997, 87-88, 118, 132). The NASEM report also reviews concerns raised by the early eugenics movement and proposes limitations prompted by these concerns. The report states that an</w:t>
      </w:r>
      <w:r w:rsidR="0015755D">
        <w:t xml:space="preserve"> </w:t>
      </w:r>
      <w:r w:rsidRPr="009B191D">
        <w:t xml:space="preserve">analysis of risks and benefits would not support human genetic modifications for enhancement purposes—for the present as well as the foreseeable future. (NASEM 2017, 96-98, 135-139). The authors of the NASEM report cite a survey of public opinion polls (Table 6-1, from Blendon et al., 2016) in support of this conclusion. </w:t>
      </w:r>
      <w:proofErr w:type="gramStart"/>
      <w:r w:rsidRPr="009B191D">
        <w:t>The majority of</w:t>
      </w:r>
      <w:proofErr w:type="gramEnd"/>
      <w:r w:rsidRPr="009B191D">
        <w:t xml:space="preserve"> respondents to the polls favored genetic therapy but opposed enhancements of intelligence, physical appearance, or facial characteristics as well as genetic alterations of weight, height, hair or eye color.</w:t>
      </w:r>
    </w:p>
    <w:p w14:paraId="0D70B386" w14:textId="3E4616A6" w:rsidR="009B191D" w:rsidRPr="009B191D" w:rsidRDefault="009B191D" w:rsidP="009B191D">
      <w:r w:rsidRPr="009B191D">
        <w:lastRenderedPageBreak/>
        <w:t xml:space="preserve">In contemplating human genetic modification, why do scholars, science policy groups, and ordinary people turn first to the moral lessons of eugenic thinking? Some authors attribute to religion the aversion to eugenics that many people feel deeply within themselves. John Harris, for example, notes that some opponents of genetic modifications argue that "it is tempting fate or divine wrath to play God and intervene in the natural order" (Harris 2009, 133-134). Echoing an analysis of the "playing God" objection in the report </w:t>
      </w:r>
      <w:r w:rsidRPr="009B191D">
        <w:rPr>
          <w:i/>
          <w:iCs/>
        </w:rPr>
        <w:t>Splicing Life</w:t>
      </w:r>
      <w:r w:rsidRPr="009B191D">
        <w:t xml:space="preserve"> (President's Commission 1982, 51-60), Harris characterizes religious arguments against human genetic modification as irrelevant to policy-oriented discourse in a pluralistic society. Harris adds that such objections are based on superstition. This leaves Harris, like so many other bioethicists writing on the topic, with only the relatively thin ethical resources of utilitarian and libertarian principl</w:t>
      </w:r>
      <w:r w:rsidR="002D0BEA">
        <w:t>e-based theories</w:t>
      </w:r>
      <w:r w:rsidRPr="009B191D">
        <w:t xml:space="preserve"> with which to build his own position.</w:t>
      </w:r>
    </w:p>
    <w:p w14:paraId="37A3C378" w14:textId="77777777" w:rsidR="009B191D" w:rsidRPr="009B191D" w:rsidRDefault="009B191D" w:rsidP="009B191D">
      <w:r w:rsidRPr="009B191D">
        <w:t xml:space="preserve">John Evans (2002) </w:t>
      </w:r>
      <w:proofErr w:type="gramStart"/>
      <w:r w:rsidRPr="009B191D">
        <w:t>offers an explanation for</w:t>
      </w:r>
      <w:proofErr w:type="gramEnd"/>
      <w:r w:rsidRPr="009B191D">
        <w:t xml:space="preserve"> the downplaying of the religious positions. He describes the public-policy debates about human genetic engineering as jurisdictional. Evans characterizes the debates as the "formal, rational arguments" of scientists on the one hand and the "substantive, rational arguments" of theologians on the other hand. Evans gives an account of how theological arguments were set aside and preference given to scientific arguments. At various junctures in the formation of policy on human genetic engineering, including the deliberations of the President's Commission (1982), the scientific jurisdiction has prevailed over the theological.</w:t>
      </w:r>
    </w:p>
    <w:p w14:paraId="208E9761" w14:textId="6E597280" w:rsidR="009B191D" w:rsidRPr="009B191D" w:rsidRDefault="009B191D" w:rsidP="009B191D">
      <w:r w:rsidRPr="009B191D">
        <w:t xml:space="preserve">While some of the tenacious resistance to human genetic modifications surely is born of </w:t>
      </w:r>
      <w:r w:rsidRPr="009B191D">
        <w:drawing>
          <wp:inline distT="0" distB="0" distL="0" distR="0" wp14:anchorId="7CA73A44" wp14:editId="54AF90F9">
            <wp:extent cx="9525" cy="9525"/>
            <wp:effectExtent l="0" t="0" r="0" b="0"/>
            <wp:docPr id="715059789"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750"/>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9B191D">
        <w:t xml:space="preserve">superstition, as John Harris maintains, I suggest that resistance to one form of genetic modification, namely genetic enhancements, may be traced to sources other than superstition— </w:t>
      </w:r>
      <w:r w:rsidRPr="009B191D">
        <w:drawing>
          <wp:inline distT="0" distB="0" distL="0" distR="0" wp14:anchorId="367340BC" wp14:editId="6C45A57F">
            <wp:extent cx="9525" cy="9525"/>
            <wp:effectExtent l="0" t="0" r="0" b="0"/>
            <wp:docPr id="1158564077"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75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9B191D">
        <w:t>even among those who adhere to various religious traditions. Followers of various religions recall in their narratives and rituals that their traditions are rooted in rejections of major forms of injustice. Judaism arose in response to slavery, Christianity in answer to brutal colonialism, Buddhism in the rejection of a caste system, and Islam and Confucianism as checks on endless warfare. The movements inverted, as it were, their societies and in each case brought about a more just society. A just society is one in which persons are regarded as equal and are not segregated and oppressed from generation to generation (contrary to a caste system); dehumanization and victimization does not occur (contrary to slavery); a people is not exploited (contrary to colonialism), and innocents are not subjected to genocide and people are not displaced (contrary to war-ridden societies).</w:t>
      </w:r>
    </w:p>
    <w:p w14:paraId="19523457" w14:textId="6890306F" w:rsidR="009B191D" w:rsidRPr="009B191D" w:rsidRDefault="009B191D" w:rsidP="009B191D">
      <w:r w:rsidRPr="009B191D">
        <w:t xml:space="preserve">Each of these movements represented a journey into new </w:t>
      </w:r>
      <w:proofErr w:type="spellStart"/>
      <w:r w:rsidRPr="009B191D">
        <w:t>morai</w:t>
      </w:r>
      <w:proofErr w:type="spellEnd"/>
      <w:r w:rsidRPr="009B191D">
        <w:t xml:space="preserve"> territory. These responses to injustice represent the best, not the worst, of religion. They do not stem from superstition; rather, they reflect shared intuitions in response to the suffering inflicted by injustices</w:t>
      </w:r>
      <w:r w:rsidR="0015755D">
        <w:t>.</w:t>
      </w:r>
      <w:r w:rsidRPr="009B191D">
        <w:t xml:space="preserve"> In the same way, most ethical analyses of the historical eugenics movement trace its abuses to the same source: to the inherent injustice of its attempt to classify and segregate humans into a hierarchy </w:t>
      </w:r>
      <w:proofErr w:type="gramStart"/>
      <w:r w:rsidRPr="009B191D">
        <w:t>in order to</w:t>
      </w:r>
      <w:proofErr w:type="gramEnd"/>
      <w:r w:rsidRPr="009B191D">
        <w:t xml:space="preserve"> rationalize and perpetuate coercive policies of genocide and oppression (</w:t>
      </w:r>
      <w:proofErr w:type="spellStart"/>
      <w:r w:rsidRPr="009B191D">
        <w:t>Kevles</w:t>
      </w:r>
      <w:proofErr w:type="spellEnd"/>
      <w:r w:rsidRPr="009B191D">
        <w:t xml:space="preserve"> 1985; Lombardo 2011; Baynton 2016).</w:t>
      </w:r>
    </w:p>
    <w:p w14:paraId="01AEA7C1" w14:textId="1EA687E8" w:rsidR="009B191D" w:rsidRPr="009B191D" w:rsidRDefault="009B191D" w:rsidP="009B191D">
      <w:r w:rsidRPr="009B191D">
        <w:t xml:space="preserve">Of special relevance to public concerns about human genetic enhancement is the scientific community's involvement in the eugenics movement of the twentieth century. The eugenics movement began as a progressive movement dedicated to </w:t>
      </w:r>
      <w:r w:rsidR="009626E1">
        <w:t xml:space="preserve">public health and </w:t>
      </w:r>
      <w:r w:rsidRPr="009B191D">
        <w:t>the emancipation of women</w:t>
      </w:r>
      <w:r w:rsidR="009626E1">
        <w:t xml:space="preserve">. </w:t>
      </w:r>
      <w:r w:rsidRPr="009B191D">
        <w:t xml:space="preserve">But because of the ways in which its tools were misused by untrustworthy social leaders and scientists to inflict involuntary euthanasia, racist and segregationist policies, and genocide </w:t>
      </w:r>
      <w:r w:rsidRPr="009B191D">
        <w:lastRenderedPageBreak/>
        <w:t>during the twentieth century, eugenics has been added, in the popular mind, to the list of major injustices. The British author G.K. Chesterton, for example, entitled his 1922 work on the subject Eugenics and Other Evils (Chesterton 1922). Today commentators like George Annas and others (Annas, Andrews, and Isasi 2002) count eugenics as a crime against humanity— implying that it could be placed beside the brutalities of slavery, genocide, colonialism, feudal castes, and endless war.</w:t>
      </w:r>
    </w:p>
    <w:p w14:paraId="246648CB" w14:textId="77777777" w:rsidR="009B191D" w:rsidRPr="009B191D" w:rsidRDefault="009B191D" w:rsidP="009B191D">
      <w:r w:rsidRPr="009B191D">
        <w:t>Most importantly for our current debates over genetic enhancement, out of the ashes of the first round of eugenics in the first half of the twentieth century came a questioning of the very sources of moral and political authority by persons such as John-Paul Sartre (1966), who survived the horror of a Nazi death camp, and Albert Camus (1955, 1972), who experienced the Nazi occupation of France. These authors witnessed the culmination of a downward spiral of industrial societies marked by eugenics programs and probed the depths of human experience to ask where, if anywhere, a basis of moral responsibility could be found.</w:t>
      </w:r>
    </w:p>
    <w:p w14:paraId="030357A3" w14:textId="50C5F718" w:rsidR="009B191D" w:rsidRPr="009B191D" w:rsidRDefault="009B191D" w:rsidP="009B191D">
      <w:r w:rsidRPr="009B191D">
        <w:t>The responses of Sartre (1966) and Camus (1955, 1972) and many who probed these depths trace moral authority to the individual</w:t>
      </w:r>
      <w:r w:rsidR="009626E1">
        <w:t>’</w:t>
      </w:r>
      <w:r w:rsidRPr="009B191D">
        <w:t xml:space="preserve">s confrontation with death. These existentialist thinkers regard the human choice to survive in the face of absurdity and alienation as the ultimate source of what is generally known as morality. Sartre distinguishes a naturalist view from an existentialist view, and Albert Camus develops Sartre's distinction by contrasting natural death with conscious death in the novel </w:t>
      </w:r>
      <w:r w:rsidRPr="009B191D">
        <w:rPr>
          <w:i/>
          <w:iCs/>
        </w:rPr>
        <w:t>A Happy Death</w:t>
      </w:r>
      <w:r w:rsidRPr="009B191D">
        <w:t xml:space="preserve">. Camus presents a character Zagreus to depict the naturalist view of death, in which Zagreus is overwhelmed by his disabilities. Unable even to hold a gun, Zagreus pays someone </w:t>
      </w:r>
      <w:r w:rsidR="009626E1">
        <w:t>a large amount of money</w:t>
      </w:r>
      <w:r w:rsidRPr="009B191D">
        <w:t xml:space="preserve"> to kill him</w:t>
      </w:r>
      <w:r w:rsidR="009626E1">
        <w:t>.</w:t>
      </w:r>
      <w:r w:rsidRPr="009B191D">
        <w:t xml:space="preserve"> Camus contrasts Zagreus' death with the death of Meursault who, aware he is dying from tuberculosis, decides to live as fully and consciously as he can until he dies from the tuberculosis, Death is meaningless or absurd in naturalism, according to Sartre and Camus, while in existentialism it can become a source of meaning. The double awareness that one will die and that one could take one's own life sets the stage for the individual's existential choice of whether to continue his or her life. In choosing to live, one creates the meaning his or her life will have.</w:t>
      </w:r>
    </w:p>
    <w:p w14:paraId="3245C210" w14:textId="76008830" w:rsidR="009B191D" w:rsidRPr="009B191D" w:rsidRDefault="009B191D" w:rsidP="009B191D">
      <w:r w:rsidRPr="009B191D">
        <w:t xml:space="preserve">Camus (1966) writes in the opening line of his essay The Myth of Sisyphus: "There is but one serious philosophical problem, and that is suicide." </w:t>
      </w:r>
      <w:proofErr w:type="gramStart"/>
      <w:r w:rsidR="009626E1">
        <w:t>I</w:t>
      </w:r>
      <w:r w:rsidRPr="009B191D">
        <w:t>n the course of</w:t>
      </w:r>
      <w:proofErr w:type="gramEnd"/>
      <w:r w:rsidRPr="009B191D">
        <w:t xml:space="preserve"> the essay</w:t>
      </w:r>
      <w:r w:rsidR="009626E1">
        <w:t>, however,</w:t>
      </w:r>
      <w:r w:rsidRPr="009B191D">
        <w:t xml:space="preserve"> he rejects suicide as a solution and describes it as an inauthentic response to the prospect of death</w:t>
      </w:r>
      <w:r w:rsidR="009626E1">
        <w:t>.</w:t>
      </w:r>
      <w:r w:rsidRPr="009B191D">
        <w:t xml:space="preserve"> In a similar vein Sartre (1966, 691) writes: "Suicide is an absurdity which causes my life to be submerged in the absurd." The existential choice is accompanied by the creation of meaning in the face of life's absurdity when one opts to continue his or her life,</w:t>
      </w:r>
    </w:p>
    <w:p w14:paraId="39329BFC" w14:textId="77777777" w:rsidR="009B191D" w:rsidRPr="009B191D" w:rsidRDefault="009B191D" w:rsidP="009B191D">
      <w:r w:rsidRPr="009B191D">
        <w:t>People in their collective memory recognize that their ancestors have faced the existential choice in varying degrees—in the face of genocide, slavery, colonialism, castes, endless war, and eugenics. They see in their ancestral stories courage to continue life despite its pain and suffering and then to pass life on to others who, in turn, have faced the existential choice and the suffering that accompanies this choice. Humans come to realize that the continuation of life in the human community is unique: it is the result of a series of individual decisions that life, despite its many hardships and misfortunes, is worth continuing. This is the narrative that renders coherent the decision to continue life.</w:t>
      </w:r>
    </w:p>
    <w:p w14:paraId="6596D78E" w14:textId="77777777" w:rsidR="009B191D" w:rsidRPr="009B191D" w:rsidRDefault="009B191D" w:rsidP="009B191D">
      <w:r w:rsidRPr="009B191D">
        <w:lastRenderedPageBreak/>
        <w:t xml:space="preserve">When they look for leaders who can be trusted, people accept leaders who support ways of life that can be passed on to the next generation and beyond. They are acutely aware of leaders </w:t>
      </w:r>
      <w:proofErr w:type="gramStart"/>
      <w:r w:rsidRPr="009B191D">
        <w:t>who—</w:t>
      </w:r>
      <w:proofErr w:type="gramEnd"/>
      <w:r w:rsidRPr="009B191D">
        <w:t>whether in official religion, pseudo-science, or fraudulent business--have promised more than they could deliver.</w:t>
      </w:r>
    </w:p>
    <w:p w14:paraId="66D84796" w14:textId="77777777" w:rsidR="009B191D" w:rsidRPr="009B191D" w:rsidRDefault="009B191D" w:rsidP="009B191D">
      <w:r w:rsidRPr="009B191D">
        <w:t xml:space="preserve">When the leaders betray people's trust, people themselves exercise a form of practical wisdom and seek their own paths to justice and sustainability. Migrations from wars related to major forms of injustice have occurred throughout history. An "underground railroad" emerged to aid enslaved </w:t>
      </w:r>
      <w:proofErr w:type="gramStart"/>
      <w:r w:rsidRPr="009B191D">
        <w:t>persons</w:t>
      </w:r>
      <w:proofErr w:type="gramEnd"/>
      <w:r w:rsidRPr="009B191D">
        <w:t xml:space="preserve"> courageously escaping from slavery. A movement to resist policies of genocide arose in Europe during the reign of Hitler. Historically the major injustices associated with genocide, slavery, colonialism, caste, and endless warfare stirred people from within to </w:t>
      </w:r>
      <w:proofErr w:type="gramStart"/>
      <w:r w:rsidRPr="009B191D">
        <w:t>rise up</w:t>
      </w:r>
      <w:proofErr w:type="gramEnd"/>
      <w:r w:rsidRPr="009B191D">
        <w:t>—sometimes violently, sometimes non-violently—against these injustices as they sought more sustainable communities in which to raise their children.</w:t>
      </w:r>
    </w:p>
    <w:p w14:paraId="123F4001" w14:textId="6F513C11" w:rsidR="009B191D" w:rsidRPr="009B191D" w:rsidRDefault="009B191D" w:rsidP="009B191D">
      <w:r w:rsidRPr="009B191D">
        <w:t xml:space="preserve">People trust ways of life that enable them to pass life on to the young. Genocide, slavery, </w:t>
      </w:r>
      <w:r w:rsidRPr="009B191D">
        <w:drawing>
          <wp:inline distT="0" distB="0" distL="0" distR="0" wp14:anchorId="7E8733DA" wp14:editId="4C839753">
            <wp:extent cx="9525" cy="9525"/>
            <wp:effectExtent l="0" t="0" r="0" b="0"/>
            <wp:docPr id="332944259"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83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9B191D">
        <w:t>colonialism, endless warfare, feudal castes, and religious terrorism are perceived as practices that hinder rather than support the passing on of sustainable communities, and our historical experiences with eugenics place human genetic modification in the same penumbra of concern.</w:t>
      </w:r>
    </w:p>
    <w:p w14:paraId="1F87192B" w14:textId="3DDEB10D" w:rsidR="009B191D" w:rsidRPr="009B191D" w:rsidRDefault="009B191D" w:rsidP="009B191D">
      <w:r w:rsidRPr="009B191D">
        <w:t xml:space="preserve">Just as successful movements to correct injustices in the past, however, have sometimes given rise to crusades, inquisitions, genocides, pogroms, and jihads, new forms of injustice can arise and violence can be perpetrated when injustices are </w:t>
      </w:r>
      <w:r w:rsidR="009626E1">
        <w:t>challenged.</w:t>
      </w:r>
      <w:r w:rsidRPr="009B191D">
        <w:rPr>
          <w:vertAlign w:val="superscript"/>
        </w:rPr>
        <w:t xml:space="preserve">2 </w:t>
      </w:r>
      <w:r w:rsidRPr="009B191D">
        <w:t>With this historical perspective as a sobering reminder, the question of how best to ad</w:t>
      </w:r>
      <w:r w:rsidR="009626E1">
        <w:t>d</w:t>
      </w:r>
      <w:r w:rsidRPr="009B191D">
        <w:t xml:space="preserve">ress human genetic modifications and their potential for another wave of eugenics may be approached. A move into new moral territory seems called for. This move must be accompanied by the historical memory of past abuses inflicted </w:t>
      </w:r>
      <w:proofErr w:type="gramStart"/>
      <w:r w:rsidRPr="009B191D">
        <w:t>In</w:t>
      </w:r>
      <w:proofErr w:type="gramEnd"/>
      <w:r w:rsidRPr="009B191D">
        <w:t xml:space="preserve"> the name of doing good.</w:t>
      </w:r>
    </w:p>
    <w:p w14:paraId="1CDD3FF2" w14:textId="77777777" w:rsidR="009B191D" w:rsidRPr="009B191D" w:rsidRDefault="009B191D" w:rsidP="009B191D">
      <w:r w:rsidRPr="009B191D">
        <w:t>NEW MORAL TERRITORY</w:t>
      </w:r>
    </w:p>
    <w:p w14:paraId="6EEAD8AA" w14:textId="14F66D04" w:rsidR="009B191D" w:rsidRPr="009B191D" w:rsidRDefault="009B191D" w:rsidP="009B191D">
      <w:r w:rsidRPr="009B191D">
        <w:t>N</w:t>
      </w:r>
      <w:r w:rsidR="009626E1">
        <w:t>o</w:t>
      </w:r>
      <w:r w:rsidRPr="009B191D">
        <w:t xml:space="preserve"> single moral theory </w:t>
      </w:r>
      <w:proofErr w:type="spellStart"/>
      <w:r w:rsidRPr="009B191D">
        <w:t>ith</w:t>
      </w:r>
      <w:proofErr w:type="spellEnd"/>
      <w:r w:rsidRPr="009B191D">
        <w:t xml:space="preserve"> its principles, values, or virtues provides a complete guide to address the complexities of human genetic modification. However, some moral philosophies may provide better direction than others for a move toward new moral territory to address these complexities. </w:t>
      </w:r>
      <w:proofErr w:type="gramStart"/>
      <w:r w:rsidRPr="009B191D">
        <w:t>A number of</w:t>
      </w:r>
      <w:proofErr w:type="gramEnd"/>
      <w:r w:rsidRPr="009B191D">
        <w:t xml:space="preserve"> traditional relation-based ethical approaches (communitarian, virtue, and care ethics) and principle-based theories of justice (like John Rawls') implicitly assume an existential choice. I will make the case that this assumption of an existential choice supports a challenge to the principle-based arguments of John Harris, Ronald Green, and Allen </w:t>
      </w:r>
      <w:r w:rsidRPr="009B191D">
        <w:drawing>
          <wp:inline distT="0" distB="0" distL="0" distR="0" wp14:anchorId="23DD1DF2" wp14:editId="3F2DBABA">
            <wp:extent cx="9525" cy="28575"/>
            <wp:effectExtent l="0" t="0" r="28575" b="9525"/>
            <wp:docPr id="800059670"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83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9525" cy="28575"/>
                    </a:xfrm>
                    <a:prstGeom prst="rect">
                      <a:avLst/>
                    </a:prstGeom>
                    <a:noFill/>
                    <a:ln>
                      <a:noFill/>
                    </a:ln>
                  </pic:spPr>
                </pic:pic>
              </a:graphicData>
            </a:graphic>
          </wp:inline>
        </w:drawing>
      </w:r>
      <w:r w:rsidRPr="009B191D">
        <w:t>Buchanan and co-authors that favor eugenic uses of human genetic modification</w:t>
      </w:r>
      <w:r w:rsidR="00786A22">
        <w:t>.</w:t>
      </w:r>
      <w:r w:rsidRPr="009B191D">
        <w:t xml:space="preserve"> Green and Buchanan et al. interpret Rawls as supporting both therapy and enhancements. I will propose another interpretation of Rawls' position—namely, that it supports therapy but not </w:t>
      </w:r>
      <w:r w:rsidRPr="009B191D">
        <w:drawing>
          <wp:inline distT="0" distB="0" distL="0" distR="0" wp14:anchorId="74D2882E" wp14:editId="73E289D9">
            <wp:extent cx="9525" cy="9525"/>
            <wp:effectExtent l="0" t="0" r="0" b="0"/>
            <wp:docPr id="825877847"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83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9B191D">
        <w:t>enhancements.</w:t>
      </w:r>
    </w:p>
    <w:p w14:paraId="4286E2FA" w14:textId="77777777" w:rsidR="009B191D" w:rsidRPr="009B191D" w:rsidRDefault="009B191D" w:rsidP="009B191D">
      <w:r w:rsidRPr="009B191D">
        <w:t>John Rawls' Kantian Position: Justice Across Generations</w:t>
      </w:r>
    </w:p>
    <w:p w14:paraId="4BBE55FB" w14:textId="00348B6B" w:rsidR="009B191D" w:rsidRPr="009B191D" w:rsidRDefault="009B191D" w:rsidP="009B191D">
      <w:r w:rsidRPr="009B191D">
        <w:t xml:space="preserve">The Kantian-Rawlsian tradition provides a good place to start in seeking moral frameworks for human genetic enhancement since it has provided a major voice in moral and political liberalism during the second half of the twentieth century. Rawls builds a principle-based theory of justice around the free, informed and unanimous consent of negotiators of a hypothetical social contract. He proposes that free and equal persons enter a social contract from behind what he calls a "veil of </w:t>
      </w:r>
      <w:r w:rsidRPr="009B191D">
        <w:lastRenderedPageBreak/>
        <w:t>ignorance" or an "original position" and that they adopt the perspective of an impartial rational spectator. One way of thinking about this perspective is that the basic principles or constitutional rights are chosen with the cards face down, as it were</w:t>
      </w:r>
      <w:proofErr w:type="gramStart"/>
      <w:r w:rsidRPr="009B191D">
        <w:t>.</w:t>
      </w:r>
      <w:r w:rsidR="00786A22">
        <w:t>4</w:t>
      </w:r>
      <w:proofErr w:type="gramEnd"/>
    </w:p>
    <w:p w14:paraId="5FF54AC2" w14:textId="77777777" w:rsidR="009B191D" w:rsidRPr="009B191D" w:rsidRDefault="009B191D" w:rsidP="009B191D">
      <w:r w:rsidRPr="009B191D">
        <w:t>From behind a veil of ignorance, or with the cards face down, the negotiators of the social contract do not know their own position in society—whether they are among the best off or the least well off in terms of position, talents, and natural abilities. When they consider whether slavery should be permitted in their society, for example, they do not know whether they are a slave or a master. The vote on whether to have slavery is made with the cards face down, and one learns one's place—slave or master—only after the vote on the slave proposal has been cast. A unanimous vote against slavery creates a basic, constitutional right not to be enslaved.</w:t>
      </w:r>
    </w:p>
    <w:p w14:paraId="6041E6BE" w14:textId="77777777" w:rsidR="009B191D" w:rsidRPr="009B191D" w:rsidRDefault="009B191D" w:rsidP="009B191D">
      <w:r w:rsidRPr="009B191D">
        <w:t xml:space="preserve">Rawls develops his parable of the blind social contract to elaborate principles of fairness for human efforts to create a sustainable society. Since "sustainable" implies a society that persists </w:t>
      </w:r>
      <w:proofErr w:type="gramStart"/>
      <w:r w:rsidRPr="009B191D">
        <w:t>into</w:t>
      </w:r>
      <w:proofErr w:type="gramEnd"/>
      <w:r w:rsidRPr="009B191D">
        <w:t xml:space="preserve"> the future, he </w:t>
      </w:r>
      <w:proofErr w:type="gramStart"/>
      <w:r w:rsidRPr="009B191D">
        <w:t>has to</w:t>
      </w:r>
      <w:proofErr w:type="gramEnd"/>
      <w:r w:rsidRPr="009B191D">
        <w:t xml:space="preserve"> acknowledge that his principles of fairness must account for the interests of future generations as well as the interests of the present generation,</w:t>
      </w:r>
    </w:p>
    <w:p w14:paraId="5B3DE0F0" w14:textId="57E7520F" w:rsidR="009B191D" w:rsidRPr="009B191D" w:rsidRDefault="009B191D" w:rsidP="009B191D">
      <w:r w:rsidRPr="009B191D">
        <w:t xml:space="preserve">Rawls first acknowledges that a contract on behalf of future generations is problematic. He explains that the negotiators of the basic principles of justice could simply choose to leave out </w:t>
      </w:r>
      <w:r w:rsidRPr="009B191D">
        <w:drawing>
          <wp:inline distT="0" distB="0" distL="0" distR="0" wp14:anchorId="4BBF408D" wp14:editId="52065492">
            <wp:extent cx="9525" cy="9525"/>
            <wp:effectExtent l="0" t="0" r="0" b="0"/>
            <wp:docPr id="1078764955"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12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9B191D">
        <w:t>any consideration of future generations (Rawls 1971, 140). To manage this difficulty, Rawls proposes that those negotiating duties to future generations may be thought of as heads of families.</w:t>
      </w:r>
    </w:p>
    <w:p w14:paraId="6FEB2FD3" w14:textId="77777777" w:rsidR="009B191D" w:rsidRPr="009B191D" w:rsidRDefault="009B191D" w:rsidP="009B191D">
      <w:r w:rsidRPr="009B191D">
        <w:t>Rawls writes:</w:t>
      </w:r>
    </w:p>
    <w:p w14:paraId="2C96AD49" w14:textId="77777777" w:rsidR="009B191D" w:rsidRPr="009B191D" w:rsidRDefault="009B191D" w:rsidP="009B191D">
      <w:r w:rsidRPr="009B191D">
        <w:t>[W]e may think of the parties as heads of families, and therefore as having a desire to further the welfare of their nearest descendants. As representatives of families their interests are opposed as the circumstances of justice imply. It is not necessary to think of the parties as heads of families, although I shall generally follow this interpretation (Rawls 1971, 128).</w:t>
      </w:r>
    </w:p>
    <w:p w14:paraId="2B829845" w14:textId="4497BC93" w:rsidR="009B191D" w:rsidRPr="009B191D" w:rsidRDefault="009B191D" w:rsidP="009B191D">
      <w:r w:rsidRPr="009B191D">
        <w:t xml:space="preserve">In proposing that the negotiators of the social contract with future generations be viewed as </w:t>
      </w:r>
      <w:r w:rsidRPr="009B191D">
        <w:drawing>
          <wp:inline distT="0" distB="0" distL="0" distR="0" wp14:anchorId="031C342C" wp14:editId="02AB053D">
            <wp:extent cx="9525" cy="9525"/>
            <wp:effectExtent l="0" t="0" r="0" b="0"/>
            <wp:docPr id="550879110"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129"/>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9B191D">
        <w:t xml:space="preserve">heads of families, Rawls points toward a relation-based morality </w:t>
      </w:r>
      <w:r w:rsidR="002D0BEA">
        <w:t>o</w:t>
      </w:r>
      <w:r w:rsidRPr="009B191D">
        <w:t xml:space="preserve">f care. This shift may be seen in his explanation of the significance of viewing the parties as heads of families: Rawls writes that it allows each person to have "someone who cares about him in the present generation." He sees this care as a bond </w:t>
      </w:r>
      <w:proofErr w:type="spellStart"/>
      <w:r w:rsidRPr="009B191D">
        <w:t>betwee</w:t>
      </w:r>
      <w:r w:rsidR="002D0BEA">
        <w:t>pri</w:t>
      </w:r>
      <w:r w:rsidRPr="009B191D">
        <w:t>n</w:t>
      </w:r>
      <w:proofErr w:type="spellEnd"/>
      <w:r w:rsidRPr="009B191D">
        <w:t xml:space="preserve"> generations in which "the whole strand is tied together" (Rawls 1971, 129).</w:t>
      </w:r>
    </w:p>
    <w:p w14:paraId="4C18653C" w14:textId="77777777" w:rsidR="009B191D" w:rsidRPr="009B191D" w:rsidRDefault="009B191D" w:rsidP="009B191D">
      <w:r w:rsidRPr="009B191D">
        <w:t>In the following section I will consider relation-based responses to human genetic modification and then return to Rawls and explore his implicit assumption of the existential choice.</w:t>
      </w:r>
    </w:p>
    <w:p w14:paraId="5EF0844A" w14:textId="77777777" w:rsidR="009B191D" w:rsidRPr="009B191D" w:rsidRDefault="009B191D" w:rsidP="009B191D">
      <w:r w:rsidRPr="009B191D">
        <w:t>FILIAL MORALITY</w:t>
      </w:r>
    </w:p>
    <w:p w14:paraId="4C0FEE63" w14:textId="2E8CA336" w:rsidR="009B191D" w:rsidRPr="009B191D" w:rsidRDefault="009B191D" w:rsidP="009B191D">
      <w:r w:rsidRPr="009B191D">
        <w:t xml:space="preserve">Among the authors who have criticized principle-based arguments are philosophers </w:t>
      </w:r>
      <w:r w:rsidR="000C3AE6">
        <w:t>w</w:t>
      </w:r>
      <w:r w:rsidRPr="009B191D">
        <w:t>ho espouse three relation-based moral frameworks. I build upon these communitarian, moralities of care, and virtue ethics and propose a framework that I call "filial morality." I classify the three frameworks as relation-based because in each framework interpersonal relationship forms an integral part of an individual's development as a moral being. I) Communitarianism is relation</w:t>
      </w:r>
      <w:r w:rsidR="00392950">
        <w:t>-</w:t>
      </w:r>
      <w:r w:rsidRPr="009B191D">
        <w:t xml:space="preserve">based because a person's moral identity is formed through relationships within a community, not as an isolated individual separate from community. 2) Moralities </w:t>
      </w:r>
      <w:r w:rsidR="00392950">
        <w:t>o</w:t>
      </w:r>
      <w:r w:rsidRPr="009B191D">
        <w:t xml:space="preserve">f care, which arose primarily in feminist </w:t>
      </w:r>
      <w:r w:rsidRPr="009B191D">
        <w:lastRenderedPageBreak/>
        <w:t xml:space="preserve">literature' regard the caring relationship as central to morality and the moral development of the child. 3) Virtue theory in the Aristotelian tradition is relation-based in that virtues arise from practices and are dispositions to act in ways that sustain a community of practitioners. These ethical approaches have sought to address some of the problems posed by principle-based moralities such as </w:t>
      </w:r>
      <w:proofErr w:type="gramStart"/>
      <w:r w:rsidRPr="009B191D">
        <w:t>Rawls'.</w:t>
      </w:r>
      <w:proofErr w:type="gramEnd"/>
    </w:p>
    <w:p w14:paraId="1A392E33" w14:textId="424FEEC3" w:rsidR="009B191D" w:rsidRPr="009B191D" w:rsidRDefault="009B191D" w:rsidP="009B191D">
      <w:r w:rsidRPr="009B191D">
        <w:drawing>
          <wp:anchor distT="0" distB="0" distL="114300" distR="114300" simplePos="0" relativeHeight="251659264" behindDoc="0" locked="0" layoutInCell="1" allowOverlap="0" wp14:anchorId="09C8735F" wp14:editId="7FCBA398">
            <wp:simplePos x="0" y="0"/>
            <wp:positionH relativeFrom="page">
              <wp:posOffset>6838950</wp:posOffset>
            </wp:positionH>
            <wp:positionV relativeFrom="page">
              <wp:posOffset>3114040</wp:posOffset>
            </wp:positionV>
            <wp:extent cx="6350" cy="6350"/>
            <wp:effectExtent l="0" t="0" r="0" b="0"/>
            <wp:wrapSquare wrapText="bothSides"/>
            <wp:docPr id="1422593595"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708"/>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pic:spPr>
                </pic:pic>
              </a:graphicData>
            </a:graphic>
            <wp14:sizeRelH relativeFrom="page">
              <wp14:pctWidth>0</wp14:pctWidth>
            </wp14:sizeRelH>
            <wp14:sizeRelV relativeFrom="page">
              <wp14:pctHeight>0</wp14:pctHeight>
            </wp14:sizeRelV>
          </wp:anchor>
        </w:drawing>
      </w:r>
      <w:r w:rsidRPr="009B191D">
        <w:t xml:space="preserve">A common thread that runs through the three different types of relation-based theories is an implicit choice—the same existential choice that Sartre and Camus recognized as the existential lesson of the Holocaust. Humans have long known of their own mortality, and for many centuries they have been aware of the causal link between intercourse and pregnancy, </w:t>
      </w:r>
      <w:proofErr w:type="gramStart"/>
      <w:r w:rsidRPr="009B191D">
        <w:t>As</w:t>
      </w:r>
      <w:proofErr w:type="gramEnd"/>
      <w:r w:rsidRPr="009B191D">
        <w:t xml:space="preserve"> a result, the relationship between the human parent and child rests on a choice that is rare in nature. Humans continue to choose to have children despite the heart-breaking knowledge of their inevitable mortality. This existential choice provides a starting point for my theory of filial morality.</w:t>
      </w:r>
    </w:p>
    <w:p w14:paraId="1EAE1307" w14:textId="77777777" w:rsidR="009B191D" w:rsidRPr="009B191D" w:rsidRDefault="009B191D" w:rsidP="009B191D">
      <w:r w:rsidRPr="009B191D">
        <w:t xml:space="preserve">The term 'filial morality' has sometimes been used to describe the obligations of children to parents. Christina Hoff Sommers (1986), for example, uses the term to discuss duties of a grown child to an elderly parent. I use the term in a broader sense to include reciprocal duties between children and parents. The parental decision to bring a child through </w:t>
      </w:r>
      <w:proofErr w:type="gramStart"/>
      <w:r w:rsidRPr="009B191D">
        <w:t>the period of childhood</w:t>
      </w:r>
      <w:proofErr w:type="gramEnd"/>
      <w:r w:rsidRPr="009B191D">
        <w:t xml:space="preserve"> dependency carries with it certain duties to the child, and the child in turn owes gratitude to the parent for making his or her life possible. These mutual obligations rest on a value conveyed in a coherent narrative that the parent shares with the child—namely, that life is worth passing on despite the suffering that life brings.</w:t>
      </w:r>
    </w:p>
    <w:p w14:paraId="171CA560" w14:textId="0B17C41F" w:rsidR="009B191D" w:rsidRPr="009B191D" w:rsidRDefault="009B191D" w:rsidP="009B191D">
      <w:r w:rsidRPr="009B191D">
        <w:t xml:space="preserve">Some proponents of a morality of care suggest that morality begins in an unchosen relationship, since the child does not choose to be born (Baier 1987, 44; </w:t>
      </w:r>
      <w:proofErr w:type="spellStart"/>
      <w:r w:rsidRPr="009B191D">
        <w:t>Noddings</w:t>
      </w:r>
      <w:proofErr w:type="spellEnd"/>
      <w:r w:rsidRPr="009B191D">
        <w:t xml:space="preserve"> 2010, 37). </w:t>
      </w:r>
      <w:r w:rsidRPr="009B191D">
        <w:drawing>
          <wp:inline distT="0" distB="0" distL="0" distR="0" wp14:anchorId="6C0A3261" wp14:editId="7869B1C0">
            <wp:extent cx="9525" cy="9525"/>
            <wp:effectExtent l="0" t="0" r="0" b="0"/>
            <wp:docPr id="820658654"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709"/>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9B191D">
        <w:t xml:space="preserve">While Baier and </w:t>
      </w:r>
      <w:proofErr w:type="spellStart"/>
      <w:r w:rsidRPr="009B191D">
        <w:t>Noddings</w:t>
      </w:r>
      <w:proofErr w:type="spellEnd"/>
      <w:r w:rsidRPr="009B191D">
        <w:t xml:space="preserve"> are correct that a child does not choose to be born, gradually the growing child does </w:t>
      </w:r>
      <w:proofErr w:type="gramStart"/>
      <w:r w:rsidRPr="009B191D">
        <w:t>face a choice—</w:t>
      </w:r>
      <w:proofErr w:type="gramEnd"/>
      <w:r w:rsidRPr="009B191D">
        <w:t xml:space="preserve">a choice that may be called the existential choice. There are two parts to this </w:t>
      </w:r>
      <w:proofErr w:type="gramStart"/>
      <w:r w:rsidRPr="009B191D">
        <w:t>choice;</w:t>
      </w:r>
      <w:proofErr w:type="gramEnd"/>
      <w:r w:rsidRPr="009B191D">
        <w:t xml:space="preserve"> whether to keep living given their unchosen lot in life and, once grown, whether to create more unchosen relationships by having children of their own and imposing the same choice on them. It is the second choice that primarily </w:t>
      </w:r>
      <w:proofErr w:type="gramStart"/>
      <w:r w:rsidRPr="009B191D">
        <w:t>animates</w:t>
      </w:r>
      <w:proofErr w:type="gramEnd"/>
      <w:r w:rsidRPr="009B191D">
        <w:t xml:space="preserve"> concerns about human genetic modification.</w:t>
      </w:r>
    </w:p>
    <w:p w14:paraId="4100FF55" w14:textId="7E95BAD7" w:rsidR="009B191D" w:rsidRPr="009B191D" w:rsidRDefault="009B191D" w:rsidP="009B191D">
      <w:r w:rsidRPr="009B191D">
        <w:t xml:space="preserve">By the time </w:t>
      </w:r>
      <w:proofErr w:type="gramStart"/>
      <w:r w:rsidRPr="009B191D">
        <w:t>persons</w:t>
      </w:r>
      <w:proofErr w:type="gramEnd"/>
      <w:r w:rsidRPr="009B191D">
        <w:t xml:space="preserve"> are biologically old enough to bear or raise a child, they have become aware of some basic "facts of life." In addition to the knowledge of mortality and the cause of pregnancy, the potential parents have become aware that some people commit suicide. When individuals become aware of suicide, especially if someone who is familiar </w:t>
      </w:r>
      <w:proofErr w:type="gramStart"/>
      <w:r w:rsidRPr="009B191D">
        <w:t>to</w:t>
      </w:r>
      <w:proofErr w:type="gramEnd"/>
      <w:r w:rsidRPr="009B191D">
        <w:t xml:space="preserve"> them commits suicide, they may come to think that each day is a gift they give themselves—a gift no longer </w:t>
      </w:r>
      <w:r w:rsidRPr="009B191D">
        <w:drawing>
          <wp:inline distT="0" distB="0" distL="0" distR="0" wp14:anchorId="5E3BAE7F" wp14:editId="7F85C31C">
            <wp:extent cx="9525" cy="9525"/>
            <wp:effectExtent l="0" t="0" r="0" b="0"/>
            <wp:docPr id="1008014200"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72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9B191D">
        <w:t xml:space="preserve">experienced by the one </w:t>
      </w:r>
      <w:r w:rsidR="00392950">
        <w:t>w</w:t>
      </w:r>
      <w:r w:rsidRPr="009B191D">
        <w:t>ho committed suicide. Knowledge of suicide may lead a person to recognize, upon reflection, that he or she continues life as a matter of choice.</w:t>
      </w:r>
    </w:p>
    <w:p w14:paraId="5E504734" w14:textId="77777777" w:rsidR="009B191D" w:rsidRPr="009B191D" w:rsidRDefault="009B191D" w:rsidP="009B191D">
      <w:r w:rsidRPr="009B191D">
        <w:t>I am not suggesting that people become suicidal when they know that someday they will die. Rather, individuals become aware that the continuation of their own life is a matter of choice. Because it is a matter of choice, people quite naturally try to make sense of their choice by questioning life and its meaning. When they contemplate death, persons are led to ask ultimate questions about life's purpose; some even ponder whether their life is worth continuing. In the contemplation of death, the individual faces the initial existential choice of whether to continue his or her own life.</w:t>
      </w:r>
    </w:p>
    <w:p w14:paraId="48C8823D" w14:textId="77777777" w:rsidR="009B191D" w:rsidRPr="009B191D" w:rsidRDefault="009B191D" w:rsidP="009B191D">
      <w:r w:rsidRPr="009B191D">
        <w:lastRenderedPageBreak/>
        <w:t>Even more importantly for the discussion of human genetic modification, those who choose to continue their own life are one day faced with the question of whether to nurture the life of another person. The answer could take the form of becoming a biological parent or adopting a child. The choice to become a parent can be answered, as in the case of the initial existential choice, affirmatively or negatively. The choice of whether to become a parent is also a genuine choice that may be exercised during pregnancy (abortion is possible), at birth (the child could be given up for adoption), and sometimes at conception (a pregnancy may be deliberate).</w:t>
      </w:r>
    </w:p>
    <w:p w14:paraId="4F392AA9" w14:textId="3FB1B5D8" w:rsidR="009B191D" w:rsidRPr="009B191D" w:rsidRDefault="009B191D" w:rsidP="009B191D">
      <w:r w:rsidRPr="009B191D">
        <w:t xml:space="preserve">Some "anti-natalist" philosophers like David Benatar advocate that humans stop having children altogether, on the grounds that the extinction of the human species will avoid the suffering of future generations (Benatar 2006). At the more traditional end of the spectrum are those like Hans Jonas, who see the continuation of humanity as a primary responsibility of the recipients of the gift of life (Jonas 1984). This responsibility stems from respect </w:t>
      </w:r>
      <w:r w:rsidR="00A530C6">
        <w:t xml:space="preserve">for </w:t>
      </w:r>
      <w:r w:rsidRPr="009B191D">
        <w:t>and reciprocity to the gift-givers who have gone before.</w:t>
      </w:r>
    </w:p>
    <w:p w14:paraId="5F2680B1" w14:textId="77777777" w:rsidR="009B191D" w:rsidRPr="009B191D" w:rsidRDefault="009B191D" w:rsidP="009B191D">
      <w:r w:rsidRPr="009B191D">
        <w:t xml:space="preserve">Similarly, Michael </w:t>
      </w:r>
      <w:proofErr w:type="gramStart"/>
      <w:r w:rsidRPr="009B191D">
        <w:t>Sandel</w:t>
      </w:r>
      <w:proofErr w:type="gramEnd"/>
      <w:r w:rsidRPr="009B191D">
        <w:t xml:space="preserve"> in the communitarian tradition sees life as a gift (Sandel 2011). Filial morality shares this view and traces the gift to the choice of the parents and ancestors to continue life. Hence, life is a gift received from one's predecessors and renewed when one gives an affirmative answer to the existential choice. By contrast, a form of parenting that Sandel depicts as hyper-parenting expresses excessive conditional love that downplays or even omits the unconditional love that motivates the child to care about and choose </w:t>
      </w:r>
      <w:proofErr w:type="gramStart"/>
      <w:r w:rsidRPr="009B191D">
        <w:t>life—i.e</w:t>
      </w:r>
      <w:proofErr w:type="gramEnd"/>
      <w:r w:rsidRPr="009B191D">
        <w:t>., it misses the heart of parenting, which is to provide apprenticeship to the existential choice.</w:t>
      </w:r>
    </w:p>
    <w:p w14:paraId="6323E455" w14:textId="77777777" w:rsidR="009B191D" w:rsidRPr="009B191D" w:rsidRDefault="009B191D" w:rsidP="009B191D">
      <w:r w:rsidRPr="009B191D">
        <w:t xml:space="preserve">Another philosopher who picks up and elaborates Jonas' position in a way that points toward filial morality is Nel </w:t>
      </w:r>
      <w:proofErr w:type="spellStart"/>
      <w:r w:rsidRPr="009B191D">
        <w:t>Noddings</w:t>
      </w:r>
      <w:proofErr w:type="spellEnd"/>
      <w:r w:rsidRPr="009B191D">
        <w:t xml:space="preserve">. </w:t>
      </w:r>
      <w:proofErr w:type="spellStart"/>
      <w:r w:rsidRPr="009B191D">
        <w:t>Noddings</w:t>
      </w:r>
      <w:proofErr w:type="spellEnd"/>
      <w:r w:rsidRPr="009B191D">
        <w:t xml:space="preserve"> sees care as a source of morality itself. Although the child does not choose to be born, the care given by the mother is returned naturally by the child. When the child helps the mother during the early years, the child gives help as a natural response to the mother's caring. When, during later years of childhood, the child helps the mother, the help may be given from a sense of obligation rather than natural caring. </w:t>
      </w:r>
      <w:proofErr w:type="spellStart"/>
      <w:r w:rsidRPr="009B191D">
        <w:t>Noddings</w:t>
      </w:r>
      <w:proofErr w:type="spellEnd"/>
      <w:r w:rsidRPr="009B191D">
        <w:t xml:space="preserve"> describes the motive for fulfilling the obligation to care as ethical caring, which she distinguishes from natural caring. According to </w:t>
      </w:r>
      <w:proofErr w:type="spellStart"/>
      <w:r w:rsidRPr="009B191D">
        <w:t>Noddings</w:t>
      </w:r>
      <w:proofErr w:type="spellEnd"/>
      <w:r w:rsidRPr="009B191D">
        <w:t xml:space="preserve">. </w:t>
      </w:r>
      <w:proofErr w:type="gramStart"/>
      <w:r w:rsidRPr="009B191D">
        <w:t>a small</w:t>
      </w:r>
      <w:proofErr w:type="gramEnd"/>
      <w:r w:rsidRPr="009B191D">
        <w:t xml:space="preserve"> child experiences care in a nurturing relationship. When small children (the cared for) seek to help their nurturers (the carers), they do so as an expression of the natural desire to be in </w:t>
      </w:r>
      <w:proofErr w:type="gramStart"/>
      <w:r w:rsidRPr="009B191D">
        <w:t>relationship</w:t>
      </w:r>
      <w:proofErr w:type="gramEnd"/>
      <w:r w:rsidRPr="009B191D">
        <w:t>. Later in childhood children may help from a sense of obligation (ethical caring). The growing children will have the capacity for ethical caring in which help is offered as a matter of obligation.</w:t>
      </w:r>
    </w:p>
    <w:p w14:paraId="72FB8F81" w14:textId="77777777" w:rsidR="009B191D" w:rsidRPr="009B191D" w:rsidRDefault="009B191D" w:rsidP="009B191D">
      <w:r w:rsidRPr="009B191D">
        <w:t xml:space="preserve">Although not apparent at first glance, the natural or conscious caring that </w:t>
      </w:r>
      <w:proofErr w:type="spellStart"/>
      <w:r w:rsidRPr="009B191D">
        <w:t>Noddings</w:t>
      </w:r>
      <w:proofErr w:type="spellEnd"/>
      <w:r w:rsidRPr="009B191D">
        <w:t xml:space="preserve"> identifies echoes in some respects the natural vs. conscious response to life in Sartre and Camus. Natural caring as depicted by </w:t>
      </w:r>
      <w:proofErr w:type="spellStart"/>
      <w:r w:rsidRPr="009B191D">
        <w:t>Noddings</w:t>
      </w:r>
      <w:proofErr w:type="spellEnd"/>
      <w:r w:rsidRPr="009B191D">
        <w:t xml:space="preserve"> is preconscious in much the same sense that life is preconscious in naturalism as outlined by Sartre and Camus. Natural caring is a type of spontaneous caring that precedes the more complex conscious caring that one experiences after facing the harsh facts of death and suicide. Once an individual becomes conscious of these facts, </w:t>
      </w:r>
      <w:proofErr w:type="gramStart"/>
      <w:r w:rsidRPr="009B191D">
        <w:t>the caring</w:t>
      </w:r>
      <w:proofErr w:type="gramEnd"/>
      <w:r w:rsidRPr="009B191D">
        <w:t xml:space="preserve"> for others as well as the caring for one's own life results from the choice described in the filial theory as the existential choice.</w:t>
      </w:r>
    </w:p>
    <w:p w14:paraId="37BD4704" w14:textId="77777777" w:rsidR="009B191D" w:rsidRPr="009B191D" w:rsidRDefault="009B191D" w:rsidP="009B191D">
      <w:r w:rsidRPr="009B191D">
        <w:t xml:space="preserve">Erik Malmqvist (2011) in the Aristotelian virtue tradition also points toward filial morality with his defense of the notion that parents prepare a child to eventually become the parents' equal. The </w:t>
      </w:r>
      <w:r w:rsidRPr="009B191D">
        <w:lastRenderedPageBreak/>
        <w:t>reason the child is prepared for this status as an equal is that the child will one day replace the parent. The filial theory offers as a reason for the equality between parent and child that both the parent and the growing child face the prospect of death, and in this neither is superior to the other.</w:t>
      </w:r>
    </w:p>
    <w:p w14:paraId="735A47BB" w14:textId="77777777" w:rsidR="009B191D" w:rsidRPr="009B191D" w:rsidRDefault="009B191D" w:rsidP="009B191D">
      <w:r w:rsidRPr="009B191D">
        <w:t>Although the filial theory has an affinity with relation-based theorists in the communitarian, care, and virtue traditions, it also blends with Rawls' principle-based theory. An avenue for this blending may be seen in Rawls' own account of virtues. Rawls' account contains a discussion of virtues to be engendered during the period of a child's development. Rawls' negotiators of the social contract are rational adults, but their moral development has already been taking place during the childhood years. (Rawls 1971, 462-467).</w:t>
      </w:r>
    </w:p>
    <w:p w14:paraId="697EC49F" w14:textId="77777777" w:rsidR="009B191D" w:rsidRPr="009B191D" w:rsidRDefault="009B191D" w:rsidP="009B191D">
      <w:r w:rsidRPr="009B191D">
        <w:t>Filial morality serves to identify the implicit assumption of an existential choice in Rawls' principle-based theory. An affirmative answer to the existential choice places constraints on the full social contract; hence, the existential choice is an integral part of the choice of principles made in the Rawlsian social contract,</w:t>
      </w:r>
    </w:p>
    <w:p w14:paraId="3F49F2FC" w14:textId="1B300495" w:rsidR="009B191D" w:rsidRPr="009B191D" w:rsidRDefault="009B191D" w:rsidP="009B191D">
      <w:r w:rsidRPr="009B191D">
        <w:t xml:space="preserve">When injustice becomes rampant, Rawls maintains, </w:t>
      </w:r>
      <w:proofErr w:type="gramStart"/>
      <w:r w:rsidRPr="009B191D">
        <w:t>persons</w:t>
      </w:r>
      <w:proofErr w:type="gramEnd"/>
      <w:r w:rsidRPr="009B191D">
        <w:t xml:space="preserve"> can turn the cards face down to re-negotiate the basic rules that govern society. A satisfactory re-negotiation can address the injustices and create anew a society in which one can choose to live</w:t>
      </w:r>
      <w:r w:rsidR="00B90D31">
        <w:t>.</w:t>
      </w:r>
      <w:r w:rsidRPr="009B191D">
        <w:t xml:space="preserve"> In filial morality, the existential choice provides a motive to negotiate the rules and live by them.</w:t>
      </w:r>
    </w:p>
    <w:p w14:paraId="12FB849E" w14:textId="77777777" w:rsidR="009B191D" w:rsidRPr="009B191D" w:rsidRDefault="009B191D" w:rsidP="009B191D">
      <w:r w:rsidRPr="009B191D">
        <w:t>Rawls' adult negotiators, when viewed as heads of families, have faced the existential choice to continue existence—both their own and that of a child. As a negotiator faces the prospect of choosing the principles or rules that govern a society, he or she may well ask: Why should I choose the principles or rules? Why do I care about choosing rules in the first place? These questions become especially poignant when people face severe hardship or injustice,</w:t>
      </w:r>
    </w:p>
    <w:p w14:paraId="561B576C" w14:textId="1C2C8B6B" w:rsidR="009B191D" w:rsidRPr="009B191D" w:rsidRDefault="009B191D" w:rsidP="009B191D">
      <w:r w:rsidRPr="009B191D">
        <w:t>The motive for choosing the rules lies in the more fundamental choice of choosing to live. The choice to live is invariably linked to living in a community or communities, and communities tend to be rule-governed entities. If the community in which one lives is already established, the individual asks whether its basic rules are fair. If the person decides that the rules are so unfair that one cannot accept living under the rules, he or she is</w:t>
      </w:r>
      <w:r w:rsidR="00B90D31">
        <w:t xml:space="preserve"> </w:t>
      </w:r>
      <w:r w:rsidRPr="009B191D">
        <w:t>free to work to change them—by trying to persuade other negotiators of the merits of the proposed revision. If the attempt to change the rules is successful, the individual can now consent to live in the community; if unsuccessful, the individual can accept the results of negotiations after trying to persuade other free and equal negotiators of the rightness of the failed claim. The individual can accept the judgment as fair, given the circumstances under which the collective judgment was made—an impartial, fair perspective with the cards face down.</w:t>
      </w:r>
    </w:p>
    <w:p w14:paraId="71F5A2A6" w14:textId="2C80E340" w:rsidR="009B191D" w:rsidRPr="009B191D" w:rsidRDefault="009B191D" w:rsidP="009B191D">
      <w:r w:rsidRPr="009B191D">
        <w:t>The negotiators of the social contract are free and equal persons, and knowledge of death is an equalizer that unites human generations. Parents and, eventually, their growing children face the existential choice in the face of uncertainty that accompanies death. Parents have known the suffering that people face and still have opted to continue life. When growing children face the existential choice, they may take inspiration from their parents' and ancestors' choices to continue life despite suffering and hardship</w:t>
      </w:r>
      <w:r w:rsidR="00B90D31">
        <w:t>.</w:t>
      </w:r>
    </w:p>
    <w:p w14:paraId="776DA107" w14:textId="77777777" w:rsidR="009B191D" w:rsidRPr="009B191D" w:rsidRDefault="009B191D" w:rsidP="009B191D">
      <w:r w:rsidRPr="009B191D">
        <w:lastRenderedPageBreak/>
        <w:t xml:space="preserve">The parent's choice to continue life establishes what I call a parent-child covenant. </w:t>
      </w:r>
      <w:r w:rsidRPr="009B191D">
        <w:rPr>
          <w:vertAlign w:val="superscript"/>
        </w:rPr>
        <w:t xml:space="preserve">7 </w:t>
      </w:r>
      <w:r w:rsidRPr="009B191D">
        <w:t xml:space="preserve">One's decision to turn the cards face down and to negotiate the rules for a sustainable community in a social contract reflects the view that the game (of life) is worth playing, </w:t>
      </w:r>
      <w:proofErr w:type="gramStart"/>
      <w:r w:rsidRPr="009B191D">
        <w:t>The</w:t>
      </w:r>
      <w:proofErr w:type="gramEnd"/>
      <w:r w:rsidRPr="009B191D">
        <w:t xml:space="preserve"> grounds of this choice are a coherent narrative passed on in the parent-child covenant.</w:t>
      </w:r>
    </w:p>
    <w:p w14:paraId="43C78AF2" w14:textId="77777777" w:rsidR="009B191D" w:rsidRPr="009B191D" w:rsidRDefault="009B191D" w:rsidP="009B191D">
      <w:r w:rsidRPr="009B191D">
        <w:t>Filial morality, then, has drawn upon the above relation-based and principle-based moral theories. Here is a brief outline of the main tenets of filial morality:</w:t>
      </w:r>
    </w:p>
    <w:p w14:paraId="592A3410" w14:textId="77777777" w:rsidR="009B191D" w:rsidRPr="009B191D" w:rsidRDefault="009B191D" w:rsidP="009B191D">
      <w:pPr>
        <w:numPr>
          <w:ilvl w:val="0"/>
          <w:numId w:val="1"/>
        </w:numPr>
      </w:pPr>
      <w:r w:rsidRPr="009B191D">
        <w:t>The existential choice, the choice to live, is a basic source of meaning.</w:t>
      </w:r>
    </w:p>
    <w:p w14:paraId="431C34F6" w14:textId="77777777" w:rsidR="009B191D" w:rsidRPr="009B191D" w:rsidRDefault="009B191D" w:rsidP="009B191D">
      <w:pPr>
        <w:numPr>
          <w:ilvl w:val="0"/>
          <w:numId w:val="1"/>
        </w:numPr>
      </w:pPr>
      <w:r w:rsidRPr="009B191D">
        <w:t xml:space="preserve">The choice to live prompts a choice of </w:t>
      </w:r>
      <w:proofErr w:type="gramStart"/>
      <w:r w:rsidRPr="009B191D">
        <w:t>the rules</w:t>
      </w:r>
      <w:proofErr w:type="gramEnd"/>
      <w:r w:rsidRPr="009B191D">
        <w:t xml:space="preserve"> by which to live.</w:t>
      </w:r>
    </w:p>
    <w:p w14:paraId="2C289178" w14:textId="77777777" w:rsidR="009B191D" w:rsidRPr="009B191D" w:rsidRDefault="009B191D" w:rsidP="009B191D">
      <w:pPr>
        <w:numPr>
          <w:ilvl w:val="0"/>
          <w:numId w:val="1"/>
        </w:numPr>
      </w:pPr>
      <w:r w:rsidRPr="009B191D">
        <w:t>The choice of the rules is directly linked to the choice of a rule-governed, sustainable community or communities in which one decides to live.</w:t>
      </w:r>
    </w:p>
    <w:p w14:paraId="2B6162BD" w14:textId="77777777" w:rsidR="009B191D" w:rsidRPr="009B191D" w:rsidRDefault="009B191D" w:rsidP="009B191D">
      <w:pPr>
        <w:numPr>
          <w:ilvl w:val="0"/>
          <w:numId w:val="1"/>
        </w:numPr>
      </w:pPr>
      <w:r w:rsidRPr="009B191D">
        <w:t>The rules by which to live are chosen in a hypothetical social contract.</w:t>
      </w:r>
    </w:p>
    <w:p w14:paraId="08EFCBAA" w14:textId="77777777" w:rsidR="0077312A" w:rsidRDefault="009B191D" w:rsidP="009B191D">
      <w:pPr>
        <w:numPr>
          <w:ilvl w:val="0"/>
          <w:numId w:val="1"/>
        </w:numPr>
      </w:pPr>
      <w:r w:rsidRPr="009B191D">
        <w:t xml:space="preserve">The social contract is negotiated by and on behalf of </w:t>
      </w:r>
      <w:proofErr w:type="gramStart"/>
      <w:r w:rsidRPr="009B191D">
        <w:t>persons</w:t>
      </w:r>
      <w:proofErr w:type="gramEnd"/>
      <w:r w:rsidRPr="009B191D">
        <w:t xml:space="preserve"> who are equals. </w:t>
      </w:r>
    </w:p>
    <w:p w14:paraId="5215C4B3" w14:textId="2C3E9C93" w:rsidR="009B191D" w:rsidRPr="009B191D" w:rsidRDefault="009B191D" w:rsidP="009B191D">
      <w:pPr>
        <w:numPr>
          <w:ilvl w:val="0"/>
          <w:numId w:val="1"/>
        </w:numPr>
      </w:pPr>
      <w:r w:rsidRPr="009B191D">
        <w:t>The hypothetical negotiators of the contract with future generations are viewed as heads of families.</w:t>
      </w:r>
    </w:p>
    <w:p w14:paraId="2827F147" w14:textId="77777777" w:rsidR="009B191D" w:rsidRPr="009B191D" w:rsidRDefault="009B191D" w:rsidP="009B191D">
      <w:pPr>
        <w:numPr>
          <w:ilvl w:val="0"/>
          <w:numId w:val="1"/>
        </w:numPr>
      </w:pPr>
      <w:r w:rsidRPr="009B191D">
        <w:t>The parent-child relationship is central to moral development.</w:t>
      </w:r>
    </w:p>
    <w:p w14:paraId="1F5FFA00" w14:textId="77777777" w:rsidR="009B191D" w:rsidRPr="009B191D" w:rsidRDefault="009B191D" w:rsidP="009B191D">
      <w:pPr>
        <w:numPr>
          <w:ilvl w:val="0"/>
          <w:numId w:val="1"/>
        </w:numPr>
      </w:pPr>
      <w:r w:rsidRPr="009B191D">
        <w:t>The parent and child are equal in that both face mortality.</w:t>
      </w:r>
    </w:p>
    <w:p w14:paraId="4006973C" w14:textId="77777777" w:rsidR="009B191D" w:rsidRPr="009B191D" w:rsidRDefault="009B191D" w:rsidP="009B191D">
      <w:pPr>
        <w:numPr>
          <w:ilvl w:val="0"/>
          <w:numId w:val="1"/>
        </w:numPr>
      </w:pPr>
      <w:r w:rsidRPr="009B191D">
        <w:t>A parent apprentices the child to the existential choice of whether to survive.</w:t>
      </w:r>
    </w:p>
    <w:p w14:paraId="57E4AC57" w14:textId="77777777" w:rsidR="009B191D" w:rsidRPr="009B191D" w:rsidRDefault="009B191D" w:rsidP="009B191D">
      <w:pPr>
        <w:numPr>
          <w:ilvl w:val="0"/>
          <w:numId w:val="1"/>
        </w:numPr>
      </w:pPr>
      <w:r w:rsidRPr="009B191D">
        <w:t>Mutual duties of parent and child include a parental duty to prepare and support the child to face the existential choice and the child's duty of gratitude to the parent for one's existence.</w:t>
      </w:r>
    </w:p>
    <w:p w14:paraId="7AB473BF" w14:textId="77777777" w:rsidR="009B191D" w:rsidRPr="009B191D" w:rsidRDefault="009B191D" w:rsidP="009B191D">
      <w:pPr>
        <w:numPr>
          <w:ilvl w:val="0"/>
          <w:numId w:val="1"/>
        </w:numPr>
      </w:pPr>
      <w:r w:rsidRPr="009B191D">
        <w:t>A parent-child covenant is formed when a coherent narrative of parental choices and the rules by which to live is passed from parent to child.</w:t>
      </w:r>
    </w:p>
    <w:p w14:paraId="77C96709" w14:textId="2755782C" w:rsidR="009B191D" w:rsidRPr="009B191D" w:rsidRDefault="009B191D" w:rsidP="009B191D">
      <w:r w:rsidRPr="009B191D">
        <w:t>Drawing upon the framework outlined in these conclusions, filial morality offers reflections and recommendations on the following topics related to human genetic modification: parental autonomy and social stability, a conflict of rights, therapeutic and non-therapeutic modifica</w:t>
      </w:r>
      <w:r w:rsidR="0077312A">
        <w:t>ti</w:t>
      </w:r>
      <w:r w:rsidRPr="009B191D">
        <w:t>ons, vulnerable populations, and trust of the people.</w:t>
      </w:r>
    </w:p>
    <w:p w14:paraId="0482BFD5" w14:textId="3F2FC9A4" w:rsidR="009B191D" w:rsidRPr="009B191D" w:rsidRDefault="009B191D" w:rsidP="009B191D">
      <w:r w:rsidRPr="009B191D">
        <w:t>Parental Autonomy and Social Stability</w:t>
      </w:r>
      <w:r w:rsidRPr="009B191D">
        <w:drawing>
          <wp:inline distT="0" distB="0" distL="0" distR="0" wp14:anchorId="11C9091D" wp14:editId="01373D1A">
            <wp:extent cx="9525" cy="9525"/>
            <wp:effectExtent l="0" t="0" r="0" b="0"/>
            <wp:docPr id="1811691470"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73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14:paraId="2705EFB9" w14:textId="1712E746" w:rsidR="009B191D" w:rsidRPr="009B191D" w:rsidRDefault="009B191D" w:rsidP="009B191D">
      <w:r w:rsidRPr="009B191D">
        <w:t xml:space="preserve">When considering genetic duties to future generations, the hypothetical negotiators, viewed as heads of families, </w:t>
      </w:r>
      <w:r w:rsidRPr="009B191D">
        <w:rPr>
          <w:vertAlign w:val="superscript"/>
        </w:rPr>
        <w:t xml:space="preserve">8 </w:t>
      </w:r>
      <w:r w:rsidRPr="009B191D">
        <w:t xml:space="preserve">would bring to the deliberations a practical wisdom derived from past individual and communal experience to bear on present moral perplexities—a practical wisdom that aims to sustain communities, both present and future, The negotiators would know the general facts of moral psychology, as Rawls (1999, 123) notes. I take this stipulation by Rawls to mean that the negotiators would have knowledge of different motivations—self-interest and altruism, for example—and of moral principles such as autonomy and greatest net benefit, two principles that are generally linked </w:t>
      </w:r>
      <w:r w:rsidR="00C442C7">
        <w:t>w</w:t>
      </w:r>
      <w:r w:rsidRPr="009B191D">
        <w:t xml:space="preserve">ith self-interest and altruism respectively. The negotiators would </w:t>
      </w:r>
      <w:proofErr w:type="gramStart"/>
      <w:r w:rsidRPr="009B191D">
        <w:t>take into account</w:t>
      </w:r>
      <w:proofErr w:type="gramEnd"/>
      <w:r w:rsidRPr="009B191D">
        <w:t xml:space="preserve"> problems that would arise from an excess of autonomy or greatest net benefit.</w:t>
      </w:r>
    </w:p>
    <w:p w14:paraId="29CA5F87" w14:textId="3AB3CAE7" w:rsidR="009B191D" w:rsidRPr="009B191D" w:rsidRDefault="009B191D" w:rsidP="009B191D">
      <w:r w:rsidRPr="009B191D">
        <w:lastRenderedPageBreak/>
        <w:t>A principle of autonomy is likely to arise early as these negotiators consider and seek non</w:t>
      </w:r>
      <w:r w:rsidR="00C442C7">
        <w:t>-</w:t>
      </w:r>
      <w:r w:rsidRPr="009B191D">
        <w:t>arbitrary constraints on the use of genetic modifications. The negotiators may emphasize self</w:t>
      </w:r>
      <w:r w:rsidR="00C442C7">
        <w:t>-</w:t>
      </w:r>
      <w:r w:rsidRPr="009B191D">
        <w:t xml:space="preserve">interest and give a libertarian interpretation of the principle of autonomy. A requirement of informed consent by individuals or their proxies, as an expression of autonomy or consent of the </w:t>
      </w:r>
      <w:proofErr w:type="gramStart"/>
      <w:r w:rsidRPr="009B191D">
        <w:t>governed</w:t>
      </w:r>
      <w:proofErr w:type="gramEnd"/>
      <w:r w:rsidRPr="009B191D">
        <w:t>, would make it morally objectionable to impose genetic modification on an individual without that individual's consent. This strategy does not help inform decisions by parents about non-therapeutic genetic modification of their offspring: parents typically serve as proxy decision makers for their offspring since the latter are unable to consent for themselves. In giving proxy consent for children, parents may very well interpret reproductive autonomy as personal license to engage in a "genetic supermarket" for selecting a child's enhancements.</w:t>
      </w:r>
    </w:p>
    <w:p w14:paraId="53BF9748" w14:textId="77777777" w:rsidR="009B191D" w:rsidRPr="009B191D" w:rsidRDefault="009B191D" w:rsidP="009B191D">
      <w:r w:rsidRPr="009B191D">
        <w:t>Anticipating problems with proxy consent in these circumstances, the negotiators could next consider the utilitarian principle of the greatest net benefit to constrain the abuses of excessive parental individualism. Here the danger is that applications of the utilitarian principle may collapse into a tyranny of the majority's interests under some circumstances. For example, the goal of producing a net benefit for society was present in the early eugenics movement when eugenicists held out hope for addressing and eliminating social problems through biological means—a history of which the negotiators are aware. The tyranny of the majority's interests prompted the response of existentialists such as Sartre and Camus and the focus on the individual as the creator of meaning.</w:t>
      </w:r>
    </w:p>
    <w:p w14:paraId="781B8BCE" w14:textId="7B9B927D" w:rsidR="009B191D" w:rsidRPr="009B191D" w:rsidRDefault="009B191D" w:rsidP="009B191D">
      <w:r w:rsidRPr="009B191D">
        <w:t xml:space="preserve">To avoid the arbitrariness of a collapse into a tyranny of the majority's interests, a "back-up" perspective of fair-mindedness may </w:t>
      </w:r>
      <w:proofErr w:type="gramStart"/>
      <w:r w:rsidRPr="009B191D">
        <w:t>be employed—</w:t>
      </w:r>
      <w:proofErr w:type="gramEnd"/>
      <w:r w:rsidRPr="009B191D">
        <w:t xml:space="preserve">a perspective that allows a place for both self-interest and altruism. Historically this perspective, revived in recent times by John Rawls, has proven effective in dealing with social emergencies. From a fair-minded point of view, the </w:t>
      </w:r>
      <w:proofErr w:type="gramStart"/>
      <w:r w:rsidRPr="009B191D">
        <w:t>negotiators</w:t>
      </w:r>
      <w:proofErr w:type="gramEnd"/>
      <w:r w:rsidRPr="009B191D">
        <w:t xml:space="preserve"> viewed as heads of families seek a balance of basic rights, principles, and virtues concerning human genetic modification. John Rawls acknowledges that "their [the negotiators'] </w:t>
      </w:r>
      <w:r w:rsidRPr="009B191D">
        <w:drawing>
          <wp:inline distT="0" distB="0" distL="0" distR="0" wp14:anchorId="686F53DB" wp14:editId="4E966B34">
            <wp:extent cx="9525" cy="9525"/>
            <wp:effectExtent l="0" t="0" r="0" b="0"/>
            <wp:docPr id="1554291964"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318"/>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9B191D">
        <w:t>interests are opposed as the circumstances of justice imply" (Rawls 1971, 128).</w:t>
      </w:r>
    </w:p>
    <w:p w14:paraId="53CF5831" w14:textId="17AAEEA1" w:rsidR="009B191D" w:rsidRPr="009B191D" w:rsidRDefault="009B191D" w:rsidP="009B191D">
      <w:r w:rsidRPr="009B191D">
        <w:t xml:space="preserve">The negotiators recognize the likelihood of a competition equivalent to that of a Hobbesian state of nature (Hobbes 1651, Part l, Chapter XIII) if parents are given license to seek nontherapeutic genetic modifications for their children. With a general knowledge of </w:t>
      </w:r>
      <w:proofErr w:type="gramStart"/>
      <w:r w:rsidRPr="009B191D">
        <w:t>past history</w:t>
      </w:r>
      <w:proofErr w:type="gramEnd"/>
      <w:r w:rsidRPr="009B191D">
        <w:t>, they also recall the Social Darwinist narrative that only the economically fittest are entitled to survive. This is a narrative they do not want to pass on to the children, since Social Darwinist thought was a major contributor to the early eugenics movement and resulted in a non</w:t>
      </w:r>
      <w:r w:rsidR="00B612A9">
        <w:t>-</w:t>
      </w:r>
      <w:r w:rsidRPr="009B191D">
        <w:t>sustainable community—as evidenced by the response to eugenics policies in Germany and elsewhere, including the U.S. Because "the interests of all are looked after and, given the veil of ignorance, the whole strand is tied together" (Rawls 1971, 129), negotiators seek constraints on parental license or a "genetic supermarket" for the genetic modification of offspring. The negotiators accept these constraints since they view autonomy as self-regulation by a community rather than as individual license.</w:t>
      </w:r>
    </w:p>
    <w:p w14:paraId="54774177" w14:textId="77777777" w:rsidR="009B191D" w:rsidRPr="009B191D" w:rsidRDefault="009B191D" w:rsidP="009B191D">
      <w:r w:rsidRPr="009B191D">
        <w:t xml:space="preserve">In negotiating basic principles regarding human genetic modification, the negotiators would not look for universal standards or defining characteristics of right action; they would instead interpret alleged universal standards as important principles. This re-interpretation of universal standards as significant principles would separate the standards from the worldviews on which those standards are </w:t>
      </w:r>
      <w:proofErr w:type="gramStart"/>
      <w:r w:rsidRPr="009B191D">
        <w:t>based—materialism</w:t>
      </w:r>
      <w:proofErr w:type="gramEnd"/>
      <w:r w:rsidRPr="009B191D">
        <w:t xml:space="preserve"> in some forms of utilitarianism and libertarianism, and dualism in some forms of communitarianism. With the worldviews set "in brackets," the negotiators would not give </w:t>
      </w:r>
      <w:r w:rsidRPr="009B191D">
        <w:lastRenderedPageBreak/>
        <w:t xml:space="preserve">priority in advance to any specific principle, value, or </w:t>
      </w:r>
      <w:proofErr w:type="gramStart"/>
      <w:r w:rsidRPr="009B191D">
        <w:t>virtue—</w:t>
      </w:r>
      <w:proofErr w:type="gramEnd"/>
      <w:r w:rsidRPr="009B191D">
        <w:t xml:space="preserve">the utilitarian principle of greatest net benefit, the libertarian principle of autonomy, the communitarian value of social stability, the Aristotelian goal of self-realization, or any </w:t>
      </w:r>
      <w:proofErr w:type="gramStart"/>
      <w:r w:rsidRPr="009B191D">
        <w:t>particular set</w:t>
      </w:r>
      <w:proofErr w:type="gramEnd"/>
      <w:r w:rsidRPr="009B191D">
        <w:t xml:space="preserve"> of virtues.</w:t>
      </w:r>
    </w:p>
    <w:p w14:paraId="7E17611F" w14:textId="03F0BF45" w:rsidR="009B191D" w:rsidRPr="009B191D" w:rsidRDefault="009B191D" w:rsidP="009B191D">
      <w:proofErr w:type="gramStart"/>
      <w:r w:rsidRPr="009B191D">
        <w:t>A strength</w:t>
      </w:r>
      <w:proofErr w:type="gramEnd"/>
      <w:r w:rsidRPr="009B191D">
        <w:t xml:space="preserve"> of Rawls' position lies in his account of the emergence of basic rights in response to historical atrocities—such as slavery (a right not to be enslaved) and endless wars fought in the </w:t>
      </w:r>
      <w:r w:rsidRPr="009B191D">
        <w:drawing>
          <wp:inline distT="0" distB="0" distL="0" distR="0" wp14:anchorId="11F0ECDA" wp14:editId="63D1D54C">
            <wp:extent cx="9525" cy="9525"/>
            <wp:effectExtent l="0" t="0" r="0" b="0"/>
            <wp:docPr id="137862748"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828"/>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9B191D">
        <w:t>name of religion (a right to religious liberty). As a retrospective account of the origin of rights, the Kantian-Rawlsian framework is quite compelling: a person's choice of principles provides a strong motivation to follow the principles and accept a community in which the principles are applied. However, as a prospective guide for managing conflicts of rights, the frameworks of Kant and Rawls are weak and must be supplemented by the insights of relation-based moral frameworks.</w:t>
      </w:r>
    </w:p>
    <w:p w14:paraId="61F5DBDE" w14:textId="5C23B594" w:rsidR="009B191D" w:rsidRPr="009B191D" w:rsidRDefault="009B191D" w:rsidP="009B191D">
      <w:r w:rsidRPr="009B191D">
        <w:t xml:space="preserve">When the negotiators viewed as heads of families deliberate, they would </w:t>
      </w:r>
      <w:proofErr w:type="gramStart"/>
      <w:r w:rsidRPr="009B191D">
        <w:t>take into account</w:t>
      </w:r>
      <w:proofErr w:type="gramEnd"/>
      <w:r w:rsidRPr="009B191D">
        <w:t xml:space="preserve"> some insights found in relation-based moralities. Given the past experiences with eugenics </w:t>
      </w:r>
      <w:r w:rsidRPr="009B191D">
        <w:drawing>
          <wp:inline distT="0" distB="0" distL="0" distR="0" wp14:anchorId="62BB1713" wp14:editId="72D7CEC1">
            <wp:extent cx="9525" cy="9525"/>
            <wp:effectExtent l="0" t="0" r="0" b="0"/>
            <wp:docPr id="294622050"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829"/>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9B191D">
        <w:t>policies, they would, after due reflection (but not in advance), assign priority to the value of a stable, sustainable society in which the next generation could be raised.</w:t>
      </w:r>
    </w:p>
    <w:p w14:paraId="3000CC5C" w14:textId="5164DAC0" w:rsidR="009B191D" w:rsidRPr="009B191D" w:rsidRDefault="009B191D" w:rsidP="009B191D">
      <w:r w:rsidRPr="009B191D">
        <w:t xml:space="preserve">The negotiators' assignment of priority to a sustainable community would include a discussion of rights. They would assign priority to a right to non-discrimination </w:t>
      </w:r>
      <w:proofErr w:type="gramStart"/>
      <w:r w:rsidRPr="009B191D">
        <w:t>on the basis of</w:t>
      </w:r>
      <w:proofErr w:type="gramEnd"/>
      <w:r w:rsidRPr="009B191D">
        <w:t xml:space="preserve"> </w:t>
      </w:r>
      <w:r w:rsidRPr="009B191D">
        <w:drawing>
          <wp:inline distT="0" distB="0" distL="0" distR="0" wp14:anchorId="3E71105D" wp14:editId="4A62F52F">
            <wp:extent cx="9525" cy="9525"/>
            <wp:effectExtent l="0" t="0" r="0" b="0"/>
            <wp:docPr id="1227265435"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830"/>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9B191D">
        <w:t>genotype, a priority supported by the Aristotelian and communitarian positions respectively of Malmqvist and Sandel.</w:t>
      </w:r>
    </w:p>
    <w:p w14:paraId="29ACB0CD" w14:textId="61015571" w:rsidR="009B191D" w:rsidRPr="009B191D" w:rsidRDefault="009B191D" w:rsidP="009B191D">
      <w:r w:rsidRPr="009B191D">
        <w:t>A Conflict of Rights</w:t>
      </w:r>
      <w:r w:rsidRPr="009B191D">
        <w:drawing>
          <wp:inline distT="0" distB="0" distL="0" distR="0" wp14:anchorId="128D9F2C" wp14:editId="3816E2A3">
            <wp:extent cx="9525" cy="9525"/>
            <wp:effectExtent l="0" t="0" r="0" b="0"/>
            <wp:docPr id="1787003863"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83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14:paraId="610777F8" w14:textId="7FEC72B1" w:rsidR="009B191D" w:rsidRPr="009B191D" w:rsidRDefault="009B191D" w:rsidP="009B191D">
      <w:r w:rsidRPr="009B191D">
        <w:t xml:space="preserve">The potential conflict between a right not to be discriminated against </w:t>
      </w:r>
      <w:proofErr w:type="gramStart"/>
      <w:r w:rsidRPr="009B191D">
        <w:t>on the basis of</w:t>
      </w:r>
      <w:proofErr w:type="gramEnd"/>
      <w:r w:rsidRPr="009B191D">
        <w:t xml:space="preserve"> genotype and a right to a sound genotype is likely to arise in the application of filial morality. Ronald </w:t>
      </w:r>
      <w:proofErr w:type="gramStart"/>
      <w:r w:rsidRPr="009B191D">
        <w:t>Green</w:t>
      </w:r>
      <w:proofErr w:type="gramEnd"/>
      <w:r w:rsidRPr="009B191D">
        <w:t xml:space="preserve"> in his libertarian interpretation of Rawls settles on a right to a sound or solid genotype, A right not to be discriminated against </w:t>
      </w:r>
      <w:proofErr w:type="gramStart"/>
      <w:r w:rsidRPr="009B191D">
        <w:t>on the basis of</w:t>
      </w:r>
      <w:proofErr w:type="gramEnd"/>
      <w:r w:rsidRPr="009B191D">
        <w:t xml:space="preserve"> genotype may be found in the </w:t>
      </w:r>
      <w:r w:rsidRPr="009B191D">
        <w:drawing>
          <wp:inline distT="0" distB="0" distL="0" distR="0" wp14:anchorId="5E20173A" wp14:editId="599D3AFA">
            <wp:extent cx="9525" cy="9525"/>
            <wp:effectExtent l="0" t="0" r="0" b="0"/>
            <wp:docPr id="865125132"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83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9B191D">
        <w:t>UNESCO Universal Declaration on the Human Genome and Human Rights, Articles 2 and 6.</w:t>
      </w:r>
      <w:r w:rsidRPr="009B191D">
        <w:drawing>
          <wp:inline distT="0" distB="0" distL="0" distR="0" wp14:anchorId="1027E769" wp14:editId="58E66310">
            <wp:extent cx="9525" cy="9525"/>
            <wp:effectExtent l="0" t="0" r="0" b="0"/>
            <wp:docPr id="1213827071"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83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14:paraId="76925A94" w14:textId="224FE55F" w:rsidR="009B191D" w:rsidRPr="009B191D" w:rsidRDefault="009B191D" w:rsidP="009B191D">
      <w:r w:rsidRPr="009B191D">
        <w:t>To manage the potential conflict between the two rights</w:t>
      </w:r>
      <w:r w:rsidR="00D20B69">
        <w:t>—</w:t>
      </w:r>
      <w:r w:rsidRPr="009B191D">
        <w:t>a</w:t>
      </w:r>
      <w:r w:rsidR="00D20B69">
        <w:t xml:space="preserve"> </w:t>
      </w:r>
      <w:r w:rsidRPr="009B191D">
        <w:t>right to a sound genotype and a right to nondiscrimination—the types of values and virtues reflected in an Aristotelian framework as represented by Erik Malmqvist and the communitarian framework of Michael Sandel would prove helpful. The negotiators would aim to create parental practices that enable the young to realize their potential while also avoiding the pitfalls of the type of hyper-parenting that Sandel recounts.</w:t>
      </w:r>
    </w:p>
    <w:p w14:paraId="67A9D8C6" w14:textId="77777777" w:rsidR="009B191D" w:rsidRPr="009B191D" w:rsidRDefault="009B191D" w:rsidP="009B191D">
      <w:r w:rsidRPr="009B191D">
        <w:t>Elements in Rawls' theory may also endorse the priority of a right to non-discrimination. Green's support for a right to a sound or solid genotype claims to draw upon Rawls' theory.</w:t>
      </w:r>
    </w:p>
    <w:p w14:paraId="79EE0B41" w14:textId="15B17C7F" w:rsidR="009B191D" w:rsidRPr="009B191D" w:rsidRDefault="009B191D" w:rsidP="009B191D">
      <w:r w:rsidRPr="009B191D">
        <w:t xml:space="preserve">When the assumption identified in filial morality, the existential choice, is seen as implicit in Rawls' account, a very different conclusion </w:t>
      </w:r>
      <w:r w:rsidR="00D20B69">
        <w:t xml:space="preserve">than Green’s </w:t>
      </w:r>
      <w:r w:rsidRPr="009B191D">
        <w:t xml:space="preserve">may be derived. With the prospect of a resurgence of eugenics today, the injustices of the early </w:t>
      </w:r>
      <w:proofErr w:type="gramStart"/>
      <w:r w:rsidRPr="009B191D">
        <w:t>eugenics</w:t>
      </w:r>
      <w:proofErr w:type="gramEnd"/>
      <w:r w:rsidRPr="009B191D">
        <w:t xml:space="preserve"> movement take on a new level of importance. </w:t>
      </w:r>
      <w:r w:rsidRPr="009B191D">
        <w:drawing>
          <wp:inline distT="0" distB="0" distL="0" distR="0" wp14:anchorId="65E56ABA" wp14:editId="1744D34F">
            <wp:extent cx="9525" cy="9525"/>
            <wp:effectExtent l="0" t="0" r="0" b="0"/>
            <wp:docPr id="1136893912"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834"/>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9B191D">
        <w:t>Since Rawls' strength lies in accounting for past injustices, his suggestion of a veil of ignorance may help to explain the emergence of rights to non-discrimination in genetic matters. Rawls writes: "[W]</w:t>
      </w:r>
      <w:proofErr w:type="gramStart"/>
      <w:r w:rsidRPr="009B191D">
        <w:t>e can</w:t>
      </w:r>
      <w:proofErr w:type="gramEnd"/>
      <w:r w:rsidRPr="009B191D">
        <w:t xml:space="preserve"> at any time look at the world from the required point of view" (Rawls 1971, 587). The time to draw the veil of ignorance is when injustices arise, and injustices in the name of eugenics have already arisen. Discrimination has in the past led to genocidal policies in which vulnerable groups have been targeted. The required point of view is that of fair-mindedness, and </w:t>
      </w:r>
      <w:r w:rsidRPr="009B191D">
        <w:lastRenderedPageBreak/>
        <w:t>parent negotiators of the social contract would classify non-therapeutic genetic modifications as eugenics.</w:t>
      </w:r>
    </w:p>
    <w:p w14:paraId="3C32A8F6" w14:textId="77777777" w:rsidR="009B191D" w:rsidRPr="009B191D" w:rsidRDefault="009B191D" w:rsidP="009B191D">
      <w:r w:rsidRPr="009B191D">
        <w:t xml:space="preserve">Filial morality recognizes the need for a balance between unconditional and conditional love in the moral development of a child. If non-therapeutic enhancements of a child are sought, the unconditional love is </w:t>
      </w:r>
      <w:proofErr w:type="gramStart"/>
      <w:r w:rsidRPr="009B191D">
        <w:t>compromised</w:t>
      </w:r>
      <w:proofErr w:type="gramEnd"/>
      <w:r w:rsidRPr="009B191D">
        <w:t xml:space="preserve"> and the parent-child relationship is placed in jeopardy. The account of what was done would have to be withheld from </w:t>
      </w:r>
      <w:proofErr w:type="gramStart"/>
      <w:r w:rsidRPr="009B191D">
        <w:t>the</w:t>
      </w:r>
      <w:proofErr w:type="gramEnd"/>
      <w:r w:rsidRPr="009B191D">
        <w:t xml:space="preserve"> growing and grown child, in which case a coherent narrative could not be passed on to the child.</w:t>
      </w:r>
    </w:p>
    <w:p w14:paraId="7E88B204" w14:textId="77777777" w:rsidR="009B191D" w:rsidRPr="009B191D" w:rsidRDefault="009B191D" w:rsidP="009B191D">
      <w:r w:rsidRPr="009B191D">
        <w:t>Therapeutic vs. Non-therapeutic Human Genetic Modifications</w:t>
      </w:r>
    </w:p>
    <w:p w14:paraId="5D223CB0" w14:textId="1D57292B" w:rsidR="009B191D" w:rsidRPr="009B191D" w:rsidRDefault="009B191D" w:rsidP="009B191D">
      <w:r w:rsidRPr="009B191D">
        <w:t xml:space="preserve">The practical wisdom of those who negotiate genetic duties to offspring would prompt the negotiators to preserve a distinction between therapeutic and non-therapeutic genetic modifications, but they would </w:t>
      </w:r>
      <w:proofErr w:type="gramStart"/>
      <w:r w:rsidRPr="009B191D">
        <w:t>recognize</w:t>
      </w:r>
      <w:proofErr w:type="gramEnd"/>
      <w:r w:rsidRPr="009B191D">
        <w:t xml:space="preserve"> and address difficulties associated with this distinction. </w:t>
      </w:r>
      <w:r w:rsidRPr="009B191D">
        <w:drawing>
          <wp:inline distT="0" distB="0" distL="0" distR="0" wp14:anchorId="2D3C5BA1" wp14:editId="12F0075D">
            <wp:extent cx="9525" cy="9525"/>
            <wp:effectExtent l="0" t="0" r="0" b="0"/>
            <wp:docPr id="200831983"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278"/>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9B191D">
        <w:t>Among the difficulties are the concept of "disease" and the goal of prevention.</w:t>
      </w:r>
    </w:p>
    <w:p w14:paraId="057F01E2" w14:textId="77777777" w:rsidR="009B191D" w:rsidRPr="009B191D" w:rsidRDefault="009B191D" w:rsidP="009B191D">
      <w:r w:rsidRPr="009B191D">
        <w:t xml:space="preserve">Allen Buchanan and his co-authors allude to this difficulty </w:t>
      </w:r>
      <w:proofErr w:type="gramStart"/>
      <w:r w:rsidRPr="009B191D">
        <w:t>in the course of</w:t>
      </w:r>
      <w:proofErr w:type="gramEnd"/>
      <w:r w:rsidRPr="009B191D">
        <w:t xml:space="preserve"> discussing the injustice of unequal opportunity: "...it is not inconceivable that we would come to re-classify as a disease any correctable genetic condition that has a significant adverse impact on equality, because we would come to regard it as an adverse departure from normal functioning" (2000, 101). Buchanan and co-authors then go on to support a form of eugenics that aims at human improvement (2000, 345).</w:t>
      </w:r>
    </w:p>
    <w:p w14:paraId="7477FBB0" w14:textId="6115AD68" w:rsidR="009B191D" w:rsidRPr="009B191D" w:rsidRDefault="009B191D" w:rsidP="009B191D">
      <w:r w:rsidRPr="009B191D">
        <w:t>The negotiators of the social contract recognize that if prevention of disease serves as a justification for genetic modification, a door to eugenics is opened when "disease" i</w:t>
      </w:r>
      <w:r w:rsidR="00095368">
        <w:t>s</w:t>
      </w:r>
      <w:r w:rsidRPr="009B191D">
        <w:t xml:space="preserve"> broadly defined. When genetic modifications aim to enhance a range of characteristics in persons who function at less than a species-typical level, these characteristics would then become candidates for therapeutic modification. A line drawn that allows prevention but prohibits enhancements would then be unenforceable because incoherent.</w:t>
      </w:r>
    </w:p>
    <w:p w14:paraId="39FF7ECE" w14:textId="5EBBEAFA" w:rsidR="009B191D" w:rsidRPr="009B191D" w:rsidRDefault="009B191D" w:rsidP="009B191D">
      <w:proofErr w:type="gramStart"/>
      <w:r w:rsidRPr="009B191D">
        <w:t>Pressure</w:t>
      </w:r>
      <w:proofErr w:type="gramEnd"/>
      <w:r w:rsidRPr="009B191D">
        <w:t xml:space="preserve"> to engage in enhancements </w:t>
      </w:r>
      <w:r w:rsidR="00095368">
        <w:t>w</w:t>
      </w:r>
      <w:r w:rsidRPr="009B191D">
        <w:t xml:space="preserve">ill be strong, particularly as much of the work is done in the private sector with a profit motive. Markets have already drawn the business and corporate sectors into the arena, and the pressure of profits is likely to increase their involvement. A pursuit </w:t>
      </w:r>
      <w:r w:rsidR="00095368">
        <w:t>o</w:t>
      </w:r>
      <w:r w:rsidRPr="009B191D">
        <w:t xml:space="preserve">f genetic enhancements </w:t>
      </w:r>
      <w:r w:rsidR="00095368">
        <w:t>w</w:t>
      </w:r>
      <w:r w:rsidRPr="009B191D">
        <w:t xml:space="preserve">ill intensify issues </w:t>
      </w:r>
      <w:r w:rsidR="00095368">
        <w:t>o</w:t>
      </w:r>
      <w:r w:rsidRPr="009B191D">
        <w:t>f injustice and is likely to deepen mistrust of business leaders.</w:t>
      </w:r>
    </w:p>
    <w:p w14:paraId="19B08605" w14:textId="289F834D" w:rsidR="009B191D" w:rsidRPr="009B191D" w:rsidRDefault="009B191D" w:rsidP="009B191D">
      <w:r w:rsidRPr="009B191D">
        <w:t>Although the negotiators are concerned with injustices that arise from human genetic modifications, they would give priority to a different type of injustice than that identified by Buchanan and co-authors</w:t>
      </w:r>
      <w:r w:rsidR="00095368">
        <w:t>.</w:t>
      </w:r>
      <w:r w:rsidRPr="009B191D">
        <w:t xml:space="preserve"> While Buchanan et al. focus on inequalities in the distribution of talents and natural abilities, the negotiators would be mainly concerned about the injustices that stem from a hierarchical ordering of people and the targeting of vulnerable populations. The negotiators would recognize ambiguous meanings of the concept of species-typical functioning, ranging from a median or a mode average on the one hand to, on the other, a highest level of attainment by one or a few highly talented persons, The negotiators would recognize in eugenics the likelihood of resurrecting the dehumanizing, victimizing, and exploitative elements of slavery, caste, colonialism, and warfare, They would see eugenics as contributing to social instability and thus would rule out the prevention of disease broadly defined, the type of definition acknowledged as a possibility by Buchanan and co-authors.</w:t>
      </w:r>
    </w:p>
    <w:p w14:paraId="241237D9" w14:textId="77777777" w:rsidR="009B191D" w:rsidRPr="009B191D" w:rsidRDefault="009B191D" w:rsidP="009B191D">
      <w:r w:rsidRPr="009B191D">
        <w:lastRenderedPageBreak/>
        <w:t xml:space="preserve">Rawls indicates that he does not consider questions of eugenics, but he writes that "the parties [negotiators] want to insure for their descendants the best genetic endowment (assuming their own to be </w:t>
      </w:r>
      <w:proofErr w:type="gramStart"/>
      <w:r w:rsidRPr="009B191D">
        <w:t>fixed)...</w:t>
      </w:r>
      <w:proofErr w:type="gramEnd"/>
      <w:r w:rsidRPr="009B191D">
        <w:t xml:space="preserve">. </w:t>
      </w:r>
      <w:proofErr w:type="gramStart"/>
      <w:r w:rsidRPr="009B191D">
        <w:t>Thus</w:t>
      </w:r>
      <w:proofErr w:type="gramEnd"/>
      <w:r w:rsidRPr="009B191D">
        <w:t xml:space="preserve"> over time a society is to take steps at least to preserve the general level of natural abilities and to prevent the diffusion of serious defects" (Rawls 1999, 92). Rawls' expression "the best genetic endowment" may be interpreted as supporting gene therapy, particularly in light of the following statement in which he argues against developing persons with enhanced qualities: "In order to arrive at the ethic of perfectionism, we should have to attribute to the parties a prior acceptance of some natural duty, say the duty to develop human persons of a certain style and aesthetic grace, and to advance the pursuit of knowledge and the cultivation of the arts. But this assumption would drastically alter the interpretation of the original position.... Perfectionism is denied as a political principle" (Rawls 1999, 289).</w:t>
      </w:r>
    </w:p>
    <w:p w14:paraId="69F544FD" w14:textId="77777777" w:rsidR="009B191D" w:rsidRPr="009B191D" w:rsidRDefault="009B191D" w:rsidP="009B191D">
      <w:r w:rsidRPr="009B191D">
        <w:t xml:space="preserve">Eric Juengst (2017) in a review of the NASEM report suggests that a human rights perspective may provide a more versatile basis for drawing a line to prevent enhancements. Since a human rights perspective is generally linked to principle-based moralities, Juengst's brief suggestion in the review stops short of addressing the serious limitations that principle-based moralities face. Principle-based moralities, in filial morality, must be supplemented by relation-based </w:t>
      </w:r>
      <w:proofErr w:type="gramStart"/>
      <w:r w:rsidRPr="009B191D">
        <w:t>moralities</w:t>
      </w:r>
      <w:proofErr w:type="gramEnd"/>
      <w:r w:rsidRPr="009B191D">
        <w:t xml:space="preserve"> if the moral development of the child is to be given due attention.</w:t>
      </w:r>
    </w:p>
    <w:p w14:paraId="016490DB" w14:textId="5A2FBC3F" w:rsidR="009B191D" w:rsidRPr="009B191D" w:rsidRDefault="009B191D" w:rsidP="009B191D">
      <w:r w:rsidRPr="009B191D">
        <w:t xml:space="preserve">The negotiators would regard the distinction between therapeutic and non-therapeutic genetic modifications as a useful distinction </w:t>
      </w:r>
      <w:proofErr w:type="gramStart"/>
      <w:r w:rsidRPr="009B191D">
        <w:t>as long as</w:t>
      </w:r>
      <w:proofErr w:type="gramEnd"/>
      <w:r w:rsidRPr="009B191D">
        <w:t xml:space="preserve"> some stipulations are put in place. Three stipulations may serve as examples. The first is that therapeutic modifications be applied only to existing medically diagnosable illnesses. Secondly, professionally acceptable diagnoses should be limited to biological (vs. social or spiritual) forms of suffering. Thirdly, "off-label" use of treatment interventions for enhancement purposes outside the practice of medicine be policed and socially prohibited</w:t>
      </w:r>
      <w:r w:rsidR="002E69DA">
        <w:t>.</w:t>
      </w:r>
    </w:p>
    <w:p w14:paraId="0A15C71A" w14:textId="77777777" w:rsidR="009B191D" w:rsidRPr="009B191D" w:rsidRDefault="009B191D" w:rsidP="009B191D">
      <w:r w:rsidRPr="009B191D">
        <w:t>Therapeutic and Non-therapeutic Human Genetic Modifications as an Ideal</w:t>
      </w:r>
    </w:p>
    <w:p w14:paraId="0083E400" w14:textId="77777777" w:rsidR="009B191D" w:rsidRPr="009B191D" w:rsidRDefault="009B191D" w:rsidP="009B191D">
      <w:r w:rsidRPr="009B191D">
        <w:t xml:space="preserve">The distinction between therapeutic and non-therapeutic genetic modifications could prove useful even though imprecision in the distinction would sometimes be </w:t>
      </w:r>
      <w:proofErr w:type="gramStart"/>
      <w:r w:rsidRPr="009B191D">
        <w:t>present</w:t>
      </w:r>
      <w:proofErr w:type="gramEnd"/>
      <w:r w:rsidRPr="009B191D">
        <w:t xml:space="preserve"> and the ideal would not be fully achievable, An analogy to baseball may help to illustrate the point that an ideal is worth striving for—even when it is not clearly attainable.</w:t>
      </w:r>
    </w:p>
    <w:p w14:paraId="5ECE91C7" w14:textId="0B21DABF" w:rsidR="009B191D" w:rsidRPr="009B191D" w:rsidRDefault="009B191D" w:rsidP="009B191D">
      <w:r w:rsidRPr="009B191D">
        <w:t xml:space="preserve">In baseball one sometimes hears the expression </w:t>
      </w:r>
      <w:r w:rsidR="002E69DA">
        <w:t>“</w:t>
      </w:r>
      <w:r w:rsidRPr="009B191D">
        <w:t xml:space="preserve">a perfect game." The expression is ordinarily applied to a game in which a pitcher faces and retires exactly 27 batters in 9 innings, </w:t>
      </w:r>
      <w:r w:rsidRPr="009B191D">
        <w:drawing>
          <wp:inline distT="0" distB="0" distL="0" distR="0" wp14:anchorId="7F940534" wp14:editId="7712952F">
            <wp:extent cx="9525" cy="9525"/>
            <wp:effectExtent l="0" t="0" r="0" b="0"/>
            <wp:docPr id="571272095"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797"/>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9B191D">
        <w:t>so a perfect game for a pitcher is measured in precise mathematical terms. Spectators and everyone involved can know a perfect game has been pitched and can celebrate the feat.</w:t>
      </w:r>
    </w:p>
    <w:p w14:paraId="35BB6336" w14:textId="7EDFAD10" w:rsidR="009B191D" w:rsidRPr="009B191D" w:rsidRDefault="009B191D" w:rsidP="009B191D">
      <w:r w:rsidRPr="009B191D">
        <w:t xml:space="preserve">The question may be asked whether an umpire can call a perfect game. The judgment calls </w:t>
      </w:r>
      <w:r w:rsidR="002E69DA">
        <w:t>o</w:t>
      </w:r>
      <w:r w:rsidRPr="009B191D">
        <w:t>f an umpire, whose role is to enforce the rules, do not lend themselves to precise mathematical measurement.</w:t>
      </w:r>
    </w:p>
    <w:p w14:paraId="70D9E921" w14:textId="484BFA8E" w:rsidR="009B191D" w:rsidRPr="009B191D" w:rsidRDefault="009B191D" w:rsidP="009B191D">
      <w:r w:rsidRPr="009B191D">
        <w:t xml:space="preserve">The formal definition of a strike can be fairly precise, as can the definition of whether a player is </w:t>
      </w:r>
      <w:proofErr w:type="gramStart"/>
      <w:r w:rsidRPr="009B191D">
        <w:t xml:space="preserve">safe </w:t>
      </w:r>
      <w:r w:rsidR="002E69DA">
        <w:t xml:space="preserve"> or</w:t>
      </w:r>
      <w:proofErr w:type="gramEnd"/>
      <w:r w:rsidR="002E69DA">
        <w:t xml:space="preserve"> out </w:t>
      </w:r>
      <w:r w:rsidRPr="009B191D">
        <w:t xml:space="preserve">when running the bases. The application of a definition, however, often lacks the precision of the formal definition. While clear instances of strikes and balls can be identified, the marginal cases leave room for judgment. A pitch that is between "letter high" (at the level of the letters on the </w:t>
      </w:r>
      <w:r w:rsidRPr="009B191D">
        <w:lastRenderedPageBreak/>
        <w:t>jersey of the batter's uniform) and "knee high" and over home plate is defined as a strike; however, whether an actual pitch is exactly letter high or knee high cannot be precisely determined.</w:t>
      </w:r>
    </w:p>
    <w:p w14:paraId="72D18102" w14:textId="748BFF1D" w:rsidR="009B191D" w:rsidRPr="009B191D" w:rsidRDefault="009B191D" w:rsidP="009B191D">
      <w:r w:rsidRPr="009B191D">
        <w:t>The role of the umpire is to apply the rules of the game as impartially and consistently as possible</w:t>
      </w:r>
      <w:r w:rsidR="002E69DA">
        <w:t>.</w:t>
      </w:r>
      <w:r w:rsidRPr="009B191D">
        <w:t xml:space="preserve"> </w:t>
      </w:r>
      <w:r w:rsidR="002E69DA">
        <w:t xml:space="preserve">Because </w:t>
      </w:r>
      <w:r w:rsidRPr="009B191D">
        <w:t>players, coaches, spectators, and the umpires themselves know that not every call can be perfect, they accept some "judgment calls" on the part of the umpire.</w:t>
      </w:r>
    </w:p>
    <w:p w14:paraId="6A4F2AD3" w14:textId="77777777" w:rsidR="009B191D" w:rsidRPr="009B191D" w:rsidRDefault="009B191D" w:rsidP="009B191D">
      <w:r w:rsidRPr="009B191D">
        <w:t>If participants are to continue to play the game, they must know that the rules are being applied as impartially, fairly, and consistently as possible. If the rules themselves are obviously unfair, or if they are unfairly applied, the participants are likely to opt out of the game. In this case, the continuation of this rule-governed game itself is threatened.</w:t>
      </w:r>
    </w:p>
    <w:p w14:paraId="7A2ADFA7" w14:textId="1DFFBE16" w:rsidR="009B191D" w:rsidRPr="009B191D" w:rsidRDefault="009B191D" w:rsidP="009B191D">
      <w:r w:rsidRPr="009B191D">
        <w:t>Although complete precision is unattainable and judgments calls are involved, the umpire'</w:t>
      </w:r>
      <w:r w:rsidR="002E69DA">
        <w:t>s</w:t>
      </w:r>
      <w:r w:rsidRPr="009B191D">
        <w:t xml:space="preserve"> ideal of calling a perfect game need not be completely abandoned. An umpire may aspire to the goal of calling a perfect game even though the ideal remains unattainable. By aiming at the goal, however, the umpire can call a fair, impartial, and consistent game. Hence, the game may continue.</w:t>
      </w:r>
    </w:p>
    <w:p w14:paraId="59D3054C" w14:textId="77777777" w:rsidR="009B191D" w:rsidRPr="009B191D" w:rsidRDefault="009B191D" w:rsidP="009B191D">
      <w:r w:rsidRPr="009B191D">
        <w:t xml:space="preserve">Parents teach </w:t>
      </w:r>
      <w:proofErr w:type="gramStart"/>
      <w:r w:rsidRPr="009B191D">
        <w:t>the game of baseball</w:t>
      </w:r>
      <w:proofErr w:type="gramEnd"/>
      <w:r w:rsidRPr="009B191D">
        <w:t xml:space="preserve"> to their children for many reasons, one of which is likely to be that judgment calls are part of the game. Some ideals, then, are valuable and may be sought, even though they cannot be fully and precisely attained </w:t>
      </w:r>
      <w:proofErr w:type="gramStart"/>
      <w:r w:rsidRPr="009B191D">
        <w:t>in the course of</w:t>
      </w:r>
      <w:proofErr w:type="gramEnd"/>
      <w:r w:rsidRPr="009B191D">
        <w:t xml:space="preserve"> events.</w:t>
      </w:r>
    </w:p>
    <w:p w14:paraId="0F7F29BA" w14:textId="4CD4279C" w:rsidR="009B191D" w:rsidRPr="009B191D" w:rsidRDefault="009B191D" w:rsidP="009B191D">
      <w:r w:rsidRPr="009B191D">
        <w:t>With respect to genetic modifications, some practices may clearly fit in the category of therapy, and others unquestionably lie outside the category of therapy. The general distinction between "therapeutic" (health-related) and "non</w:t>
      </w:r>
      <w:proofErr w:type="gramStart"/>
      <w:r w:rsidRPr="009B191D">
        <w:t>- therapeutic</w:t>
      </w:r>
      <w:proofErr w:type="gramEnd"/>
      <w:r w:rsidRPr="009B191D">
        <w:t xml:space="preserve">" (non-health related), then, is </w:t>
      </w:r>
      <w:r w:rsidRPr="009B191D">
        <w:drawing>
          <wp:inline distT="0" distB="0" distL="0" distR="0" wp14:anchorId="6C98944C" wp14:editId="67F2131D">
            <wp:extent cx="9525" cy="9525"/>
            <wp:effectExtent l="0" t="0" r="0" b="0"/>
            <wp:docPr id="576215297"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450"/>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9B191D">
        <w:t xml:space="preserve">meaningful and may provide a starting point in deciding on policies of genetic modifications. </w:t>
      </w:r>
      <w:proofErr w:type="spellStart"/>
      <w:r w:rsidRPr="009B191D">
        <w:rPr>
          <w:vertAlign w:val="superscript"/>
        </w:rPr>
        <w:t>lO</w:t>
      </w:r>
      <w:proofErr w:type="spellEnd"/>
      <w:r w:rsidRPr="009B191D">
        <w:rPr>
          <w:vertAlign w:val="superscript"/>
        </w:rPr>
        <w:t xml:space="preserve"> </w:t>
      </w:r>
      <w:r w:rsidRPr="009B191D">
        <w:t>While agreement may be present at the level of general distinctions, agreement becomes more difficult at the level of specific applications, The difficulty of applying the categories has prompted some to abandon the effort to draw any lines between acceptable and unacceptable uses—a situation that opens the way to a "genetic supermarket" from which parents can select for their children.</w:t>
      </w:r>
    </w:p>
    <w:p w14:paraId="1C707461" w14:textId="772C1D38" w:rsidR="009B191D" w:rsidRPr="009B191D" w:rsidRDefault="009B191D" w:rsidP="009B191D">
      <w:r w:rsidRPr="009B191D">
        <w:t>The ideal of preserving the general distinction between health-related and non-health</w:t>
      </w:r>
      <w:r w:rsidR="002E69DA">
        <w:t>-</w:t>
      </w:r>
      <w:r w:rsidRPr="009B191D">
        <w:t xml:space="preserve">related conditions, however, may be pursued even though the achievement of that ideal may prove difficult in practice. Since some specific conditions clearly fit under the category of health-related practices and others clearly belong </w:t>
      </w:r>
      <w:proofErr w:type="gramStart"/>
      <w:r w:rsidRPr="009B191D">
        <w:t>in</w:t>
      </w:r>
      <w:proofErr w:type="gramEnd"/>
      <w:r w:rsidRPr="009B191D">
        <w:t xml:space="preserve"> the non-health-related category, the ideal can be satisfactorily applied in these cases. Genetic modifications to treat Tay-Sachs disease, cystic fibrosis, and sickle-cell anemia clearly fit under the category of therapy, while genetic modifications to improve an average memory or average kinesthetic skills would plausibly be classified as non-therapeutic alterations.</w:t>
      </w:r>
    </w:p>
    <w:p w14:paraId="212D5C5F" w14:textId="77777777" w:rsidR="009B191D" w:rsidRPr="009B191D" w:rsidRDefault="009B191D" w:rsidP="009B191D">
      <w:r w:rsidRPr="009B191D">
        <w:t>Applications of the therapeutic and non-therapeutic distinction pose difficulties when applied to certain other conditions, such as small stature or deafness. However, the failure of attempts to apply the general distinction satisfactorily to specific conditions that do not fit clearly in either category does not require abandoning the ideal.</w:t>
      </w:r>
    </w:p>
    <w:p w14:paraId="643D65A7" w14:textId="5D656DB6" w:rsidR="009B191D" w:rsidRPr="009B191D" w:rsidRDefault="009B191D" w:rsidP="009B191D">
      <w:r w:rsidRPr="009B191D">
        <w:t xml:space="preserve">Although the ideal of preserving the distinction between therapeutic and non-therapeutic </w:t>
      </w:r>
      <w:r w:rsidRPr="009B191D">
        <w:drawing>
          <wp:inline distT="0" distB="0" distL="0" distR="0" wp14:anchorId="347E23EB" wp14:editId="565A330D">
            <wp:extent cx="9525" cy="9525"/>
            <wp:effectExtent l="0" t="0" r="0" b="0"/>
            <wp:docPr id="278325639"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45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9B191D">
        <w:t xml:space="preserve">modifications may be difficult to make in some cases, it may be stipulated for specific purposes. Observing the distinction, for example, could contribute to preserving trust in the medical profession, policy makers, business and other leaders and to allowing a coherent narrative of maintaining a sustainable society to be told to the next generation. With a coherent narrative of </w:t>
      </w:r>
      <w:r w:rsidRPr="009B191D">
        <w:lastRenderedPageBreak/>
        <w:t>genetic modification that makes sense to the next generation, the rule-governed game of life can continue in the human community.</w:t>
      </w:r>
    </w:p>
    <w:p w14:paraId="227199E7" w14:textId="77777777" w:rsidR="009B191D" w:rsidRPr="009B191D" w:rsidRDefault="009B191D" w:rsidP="009B191D">
      <w:r w:rsidRPr="009B191D">
        <w:t>Vulnerable Populations</w:t>
      </w:r>
    </w:p>
    <w:p w14:paraId="7B29EB69" w14:textId="77777777" w:rsidR="009B191D" w:rsidRPr="009B191D" w:rsidRDefault="009B191D" w:rsidP="009B191D">
      <w:r w:rsidRPr="009B191D">
        <w:t>The negotiators also recognize that some populations are vulnerable. Two such populations are deaf persons and women.</w:t>
      </w:r>
    </w:p>
    <w:p w14:paraId="123919B4" w14:textId="6C53B3F8" w:rsidR="009B191D" w:rsidRPr="009B191D" w:rsidRDefault="009B191D" w:rsidP="009B191D">
      <w:r w:rsidRPr="009B191D">
        <w:t xml:space="preserve">The NASEM report refers to resistance on the part of members of the deaf community to efforts to correct deafness (NASEM 2017, 129). Some genetic counselors have been approached by deaf couples requesting advice on how to have a deaf child. Some deaf </w:t>
      </w:r>
      <w:proofErr w:type="gramStart"/>
      <w:r w:rsidRPr="009B191D">
        <w:t>persons</w:t>
      </w:r>
      <w:proofErr w:type="gramEnd"/>
      <w:r w:rsidRPr="009B191D">
        <w:t xml:space="preserve"> regard the strong support from the deaf community as an experience they want their children to have. The support that people who are deaf receive from the deaf community is such a significant factor in their lives that they are unwilling to </w:t>
      </w:r>
      <w:proofErr w:type="gramStart"/>
      <w:r w:rsidRPr="009B191D">
        <w:t>surrender it—</w:t>
      </w:r>
      <w:proofErr w:type="gramEnd"/>
      <w:r w:rsidRPr="009B191D">
        <w:t xml:space="preserve">even for their offspring. Since deafness is a </w:t>
      </w:r>
      <w:r w:rsidRPr="009B191D">
        <w:drawing>
          <wp:inline distT="0" distB="0" distL="0" distR="0" wp14:anchorId="6634AF08" wp14:editId="7B7C5848">
            <wp:extent cx="9525" cy="9525"/>
            <wp:effectExtent l="0" t="0" r="0" b="0"/>
            <wp:docPr id="492829937"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753"/>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9B191D">
        <w:t>part of who they are, they consider themselves to be complete.11</w:t>
      </w:r>
    </w:p>
    <w:p w14:paraId="339BB9ED" w14:textId="58F0C019" w:rsidR="009B191D" w:rsidRPr="009B191D" w:rsidRDefault="009B191D" w:rsidP="009B191D">
      <w:r w:rsidRPr="009B191D">
        <w:t xml:space="preserve">The second population that I consider is women. Issues have been raised over the commodification of women in the application of reproductive technologies and genetic modification of offspring. An account of these issues is presented in a University of Chicago Law </w:t>
      </w:r>
      <w:r w:rsidRPr="009B191D">
        <w:drawing>
          <wp:inline distT="0" distB="0" distL="0" distR="0" wp14:anchorId="0E2BBCBF" wp14:editId="1F8553E8">
            <wp:extent cx="9525" cy="9525"/>
            <wp:effectExtent l="0" t="0" r="0" b="0"/>
            <wp:docPr id="794766408"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75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9B191D">
        <w:t xml:space="preserve">School Roundtable (Mahowald 1996). Women, especially if they are poor, are particularly vulnerable to pressures to be tested for genetic abnormalities and to abort fetuses if abnormalities are identified. Women also bear the risks and discomfort of prenatal genetic testing. Mahowald concludes that the voices of women should be listened </w:t>
      </w:r>
      <w:proofErr w:type="gramStart"/>
      <w:r w:rsidRPr="009B191D">
        <w:t>to</w:t>
      </w:r>
      <w:proofErr w:type="gramEnd"/>
      <w:r w:rsidRPr="009B191D">
        <w:t xml:space="preserve"> and women should not be subject to a traditional subordinate role in genetic policy-making. An illustration </w:t>
      </w:r>
      <w:r w:rsidRPr="009B191D">
        <w:drawing>
          <wp:inline distT="0" distB="0" distL="0" distR="0" wp14:anchorId="3EF4A203" wp14:editId="4ED029DB">
            <wp:extent cx="9525" cy="9525"/>
            <wp:effectExtent l="0" t="0" r="0" b="0"/>
            <wp:docPr id="14317585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755"/>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9B191D">
        <w:drawing>
          <wp:inline distT="0" distB="0" distL="0" distR="0" wp14:anchorId="49F81086" wp14:editId="23249DC3">
            <wp:extent cx="9525" cy="9525"/>
            <wp:effectExtent l="0" t="0" r="0" b="0"/>
            <wp:docPr id="160834572"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756"/>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9B191D">
        <w:t xml:space="preserve">of the absence of concern about the impact on women is apparent in the NASEM report, </w:t>
      </w:r>
      <w:proofErr w:type="gramStart"/>
      <w:r w:rsidRPr="009B191D">
        <w:t>There</w:t>
      </w:r>
      <w:proofErr w:type="gramEnd"/>
      <w:r w:rsidRPr="009B191D">
        <w:t xml:space="preserve"> is scant mention of women's place in genetic modification decisions and nothing in the Report that discusses the vulnerabilities of women.</w:t>
      </w:r>
    </w:p>
    <w:p w14:paraId="78388107" w14:textId="77777777" w:rsidR="009B191D" w:rsidRPr="009B191D" w:rsidRDefault="009B191D" w:rsidP="009B191D">
      <w:r w:rsidRPr="009B191D">
        <w:t>A relation-based morality of care supports the concerns of women and members of the deaf community. Equal respect for everyone is required.</w:t>
      </w:r>
    </w:p>
    <w:p w14:paraId="2ABAD1C5" w14:textId="77777777" w:rsidR="009B191D" w:rsidRPr="009B191D" w:rsidRDefault="009B191D" w:rsidP="009B191D">
      <w:r w:rsidRPr="009B191D">
        <w:t>The Trust of the People</w:t>
      </w:r>
    </w:p>
    <w:p w14:paraId="5C0E3F84" w14:textId="0E7170A6" w:rsidR="009B191D" w:rsidRPr="009B191D" w:rsidRDefault="009B191D" w:rsidP="009B191D">
      <w:r w:rsidRPr="009B191D">
        <w:t xml:space="preserve">The trust of </w:t>
      </w:r>
      <w:r w:rsidR="00B04EF8">
        <w:t xml:space="preserve">the </w:t>
      </w:r>
      <w:r w:rsidRPr="009B191D">
        <w:t>population</w:t>
      </w:r>
      <w:r w:rsidR="00B04EF8">
        <w:t>-</w:t>
      </w:r>
      <w:r w:rsidRPr="009B191D">
        <w:t>at</w:t>
      </w:r>
      <w:r w:rsidR="00B04EF8">
        <w:t>-</w:t>
      </w:r>
      <w:r w:rsidRPr="009B191D">
        <w:t>large is more likely to be won if widely shared ordinary intuitions are respected, the distinction between therapeutic and non-therapeutic modifications is kept, and non-therapeutic genetic modifications are placed out of bounds. The negotiators would give priority, upon reflection, to the virtue of trust, which holds a prominent place in relation</w:t>
      </w:r>
      <w:r w:rsidR="00723C0A">
        <w:t>-</w:t>
      </w:r>
      <w:r w:rsidRPr="009B191D">
        <w:t xml:space="preserve">based theories as well as in John Rawls' discussion of virtues. Trust is named as a significant virtue in Annette Baier (Baier 1986) and Alasdair </w:t>
      </w:r>
      <w:proofErr w:type="spellStart"/>
      <w:r w:rsidRPr="009B191D">
        <w:t>MacIntyre</w:t>
      </w:r>
      <w:proofErr w:type="spellEnd"/>
      <w:r w:rsidRPr="009B191D">
        <w:t xml:space="preserve">, </w:t>
      </w:r>
      <w:proofErr w:type="spellStart"/>
      <w:r w:rsidRPr="009B191D">
        <w:t>MacIntyre</w:t>
      </w:r>
      <w:proofErr w:type="spellEnd"/>
      <w:r w:rsidRPr="009B191D">
        <w:t xml:space="preserve"> writes: "Just as, so long as we share the standards and purposes characteristic of practices, we define our relationship to each other, whether we acknowledge it or not, by reference to standards of truthfulness and trust, so we define them too by reference to standards of justice and courage" </w:t>
      </w:r>
      <w:r w:rsidRPr="009B191D">
        <w:drawing>
          <wp:inline distT="0" distB="0" distL="0" distR="0" wp14:anchorId="4C9ED0CD" wp14:editId="4724D8D5">
            <wp:extent cx="9525" cy="9525"/>
            <wp:effectExtent l="0" t="0" r="0" b="0"/>
            <wp:docPr id="2001656082"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757"/>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9B191D">
        <w:t>(</w:t>
      </w:r>
      <w:proofErr w:type="spellStart"/>
      <w:r w:rsidRPr="009B191D">
        <w:t>MacIntyre</w:t>
      </w:r>
      <w:proofErr w:type="spellEnd"/>
      <w:r w:rsidRPr="009B191D">
        <w:t xml:space="preserve"> 1984, 192), Rawls also includes trust as a virtue in his discussion of a morality of association: "The content of this morality is characterized by the cooperative virtues: those of justice and fairness, fidelity and trust, integrity and impartiality. The typical vices are graspingness and unfairness, dishonesty and deceit, prejudice and bias" (Rawls 1971, 472).</w:t>
      </w:r>
    </w:p>
    <w:p w14:paraId="29A799B3" w14:textId="533A607F" w:rsidR="009B191D" w:rsidRPr="009B191D" w:rsidRDefault="009B191D" w:rsidP="009B191D">
      <w:r w:rsidRPr="009B191D">
        <w:t xml:space="preserve">Perhaps a discussion of trust in the Confucian tradition (Confucius 1960, 33) can provide a perspective on the importance </w:t>
      </w:r>
      <w:r w:rsidR="00723C0A">
        <w:t>o</w:t>
      </w:r>
      <w:r w:rsidRPr="009B191D">
        <w:t xml:space="preserve">f trust. Confucius offers advice in The Analects XII on the </w:t>
      </w:r>
      <w:r w:rsidRPr="009B191D">
        <w:lastRenderedPageBreak/>
        <w:t>importance of trust in the leaders. A student of Confucius asks what is necessary for governing. The Master (Confucius) replies that three things are needed: sufficient food, sufficient troops, and the confidence of the people</w:t>
      </w:r>
      <w:r w:rsidR="00723C0A">
        <w:t>.</w:t>
      </w:r>
      <w:r w:rsidRPr="009B191D">
        <w:t xml:space="preserve"> The student then asks: "Suppose you were forced to give up one of these three, which would you let go first?" Confucius replied: "The troops." The student then asked: "If you </w:t>
      </w:r>
      <w:proofErr w:type="gramStart"/>
      <w:r w:rsidRPr="009B191D">
        <w:t>are</w:t>
      </w:r>
      <w:proofErr w:type="gramEnd"/>
      <w:r w:rsidRPr="009B191D">
        <w:t xml:space="preserve"> forced to give up one of the two remaining, which would you let go?" Confucius replied: "Food. For from old, death has been the lot of all men, but a people without faith [in its leaders] cannot survive." The Analects in Chinese tradition are referred to as "The Great Wisdom."</w:t>
      </w:r>
    </w:p>
    <w:p w14:paraId="1DC02D57" w14:textId="77777777" w:rsidR="009B191D" w:rsidRPr="009B191D" w:rsidRDefault="009B191D" w:rsidP="009B191D">
      <w:r w:rsidRPr="009B191D">
        <w:t>CONCLUSION</w:t>
      </w:r>
    </w:p>
    <w:p w14:paraId="709816C1" w14:textId="77777777" w:rsidR="009B191D" w:rsidRPr="009B191D" w:rsidRDefault="009B191D" w:rsidP="009B191D">
      <w:r w:rsidRPr="009B191D">
        <w:t xml:space="preserve">Is there any hope that people will come to trust political, medical or business leaders who are promoting non-therapeutic genetic modification of the young? I think not. If trust in applied science is to be restored and preserved, the proponents of genetic modification must be responsible and responsive to the perspectives of parent negotiators who seek sustainable ways of life for the present generation and future generations in a social contract. The leaders who </w:t>
      </w:r>
      <w:proofErr w:type="gramStart"/>
      <w:r w:rsidRPr="009B191D">
        <w:t>will win</w:t>
      </w:r>
      <w:proofErr w:type="gramEnd"/>
      <w:r w:rsidRPr="009B191D">
        <w:t xml:space="preserve"> the trust of the people, I submit, are those who advocate only therapeutic genetic modifications.</w:t>
      </w:r>
    </w:p>
    <w:p w14:paraId="15ADD424" w14:textId="0DE75315" w:rsidR="009B191D" w:rsidRPr="009B191D" w:rsidRDefault="009B191D" w:rsidP="009B191D">
      <w:r w:rsidRPr="009B191D">
        <w:t xml:space="preserve">The industrial and </w:t>
      </w:r>
      <w:r w:rsidR="00723C0A">
        <w:t>technological</w:t>
      </w:r>
      <w:r w:rsidRPr="009B191D">
        <w:t xml:space="preserve"> societies represent a </w:t>
      </w:r>
      <w:proofErr w:type="gramStart"/>
      <w:r w:rsidRPr="009B191D">
        <w:t>fairly brief</w:t>
      </w:r>
      <w:proofErr w:type="gramEnd"/>
      <w:r w:rsidRPr="009B191D">
        <w:t xml:space="preserve"> span of time in relation to the history of accumulated wisdom surrounding injustice in its various forms. The comparatively brief cultural experiment in industrial and</w:t>
      </w:r>
      <w:r w:rsidR="00723C0A">
        <w:t xml:space="preserve"> technological</w:t>
      </w:r>
      <w:r w:rsidRPr="009B191D">
        <w:t xml:space="preserve"> ways of life—with their links to science—has mesmerized people, but it has yet to win the public's deep trust. A ray of hope lies in the balancing of principles, values, and virtues by negotiators of the contract with future generations—when the negotiators adopt parental perspectives and set the terms of a contract that aims to create a sustainable society,</w:t>
      </w:r>
    </w:p>
    <w:p w14:paraId="48B01D74" w14:textId="426BBD55" w:rsidR="009B191D" w:rsidRPr="009B191D" w:rsidRDefault="009B191D" w:rsidP="009B191D">
      <w:r w:rsidRPr="009B191D">
        <mc:AlternateContent>
          <mc:Choice Requires="wpg">
            <w:drawing>
              <wp:inline distT="0" distB="0" distL="0" distR="0" wp14:anchorId="69FECAD8" wp14:editId="2E565E48">
                <wp:extent cx="1854200" cy="12065"/>
                <wp:effectExtent l="9525" t="9525" r="12700" b="6985"/>
                <wp:docPr id="173713649" name="Group 10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54200" cy="12065"/>
                          <a:chOff x="0" y="0"/>
                          <a:chExt cx="18541" cy="121"/>
                        </a:xfrm>
                      </wpg:grpSpPr>
                      <wps:wsp>
                        <wps:cNvPr id="533627516" name="Shape 328374"/>
                        <wps:cNvSpPr>
                          <a:spLocks/>
                        </wps:cNvSpPr>
                        <wps:spPr bwMode="auto">
                          <a:xfrm>
                            <a:off x="0" y="0"/>
                            <a:ext cx="18541" cy="121"/>
                          </a:xfrm>
                          <a:custGeom>
                            <a:avLst/>
                            <a:gdLst>
                              <a:gd name="T0" fmla="*/ 0 w 1854184"/>
                              <a:gd name="T1" fmla="*/ 6081 h 12163"/>
                              <a:gd name="T2" fmla="*/ 1854184 w 1854184"/>
                              <a:gd name="T3" fmla="*/ 6081 h 12163"/>
                              <a:gd name="T4" fmla="*/ 0 w 1854184"/>
                              <a:gd name="T5" fmla="*/ 0 h 12163"/>
                              <a:gd name="T6" fmla="*/ 1854184 w 1854184"/>
                              <a:gd name="T7" fmla="*/ 12163 h 12163"/>
                            </a:gdLst>
                            <a:ahLst/>
                            <a:cxnLst>
                              <a:cxn ang="0">
                                <a:pos x="T0" y="T1"/>
                              </a:cxn>
                              <a:cxn ang="0">
                                <a:pos x="T2" y="T3"/>
                              </a:cxn>
                            </a:cxnLst>
                            <a:rect l="T4" t="T5" r="T6" b="T7"/>
                            <a:pathLst>
                              <a:path w="1854184" h="12163">
                                <a:moveTo>
                                  <a:pt x="0" y="6081"/>
                                </a:moveTo>
                                <a:lnTo>
                                  <a:pt x="1854184" y="6081"/>
                                </a:lnTo>
                              </a:path>
                            </a:pathLst>
                          </a:custGeom>
                          <a:noFill/>
                          <a:ln w="12163">
                            <a:solidFill>
                              <a:srgbClr val="000000"/>
                            </a:solidFill>
                            <a:miter lim="1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3211FB31" id="Group 105" o:spid="_x0000_s1026" style="width:146pt;height:.95pt;mso-position-horizontal-relative:char;mso-position-vertical-relative:line" coordsize="18541,1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">
                <v:shape id="Shape 328374" o:spid="_x0000_s1027" style="position:absolute;width:18541;height:121;visibility:visible;mso-wrap-style:square;v-text-anchor:top" coordsize="1854184,121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" path="m,6081r1854184,e" filled="f" strokeweight=".33786mm">
                  <v:stroke miterlimit="1" joinstyle="miter"/>
                  <v:path arrowok="t" o:connecttype="custom" o:connectlocs="0,60;18541,60" o:connectangles="0,0" textboxrect="0,0,1854184,12163"/>
                </v:shape>
                <w10:anchorlock/>
              </v:group>
            </w:pict>
          </mc:Fallback>
        </mc:AlternateContent>
      </w:r>
    </w:p>
    <w:p w14:paraId="308A7CCF" w14:textId="12CE4804" w:rsidR="009B191D" w:rsidRPr="009B191D" w:rsidRDefault="009B191D" w:rsidP="00F257D0">
      <w:pPr>
        <w:numPr>
          <w:ilvl w:val="0"/>
          <w:numId w:val="2"/>
        </w:numPr>
      </w:pPr>
      <w:r w:rsidRPr="009B191D">
        <w:t>Different religious perspectives have tended to favor genetic therapies while rejecting enhancements. The Catholic Church (2008) supports the use of genetic modification for therapeutic purposes while classifying as illicit modifications for enhancement purposes. Ted Peters (1996, 117-118) in the Protestant tradition finds that the cure of genetic disease is an expression of love for a child. However, efforts to produce "designer babies" resurrect the fearful times of the Nazi pursuit of the perfect race. Much of the discussion among religious</w:t>
      </w:r>
      <w:r w:rsidR="00C135B5">
        <w:t xml:space="preserve"> </w:t>
      </w:r>
      <w:r w:rsidRPr="009B191D">
        <w:t xml:space="preserve">denominations currently centers on germ-line modification, which is widely opposed. Laurie </w:t>
      </w:r>
      <w:proofErr w:type="spellStart"/>
      <w:r w:rsidRPr="009B191D">
        <w:t>Zoloth</w:t>
      </w:r>
      <w:proofErr w:type="spellEnd"/>
      <w:r w:rsidRPr="009B191D">
        <w:t xml:space="preserve"> (2003) reflects a Jewish perspective in accepting germ-line therapy, but she raises several questions including the effect on the most vulnerable, an unrestrained use of the technology in the marketplace, justice issues, and the eugenic labeling of some persons as inferior.</w:t>
      </w:r>
    </w:p>
    <w:p w14:paraId="4BE2D90E" w14:textId="77777777" w:rsidR="009B191D" w:rsidRPr="009B191D" w:rsidRDefault="009B191D" w:rsidP="009B191D">
      <w:pPr>
        <w:numPr>
          <w:ilvl w:val="0"/>
          <w:numId w:val="2"/>
        </w:numPr>
      </w:pPr>
      <w:r w:rsidRPr="009B191D">
        <w:t>New injustices, for example, arose when groups that previously were persecuted took the reins of power and persecuted others in turn. Crusades and Inquisitions were carried out by state-sanctioned official religions; refugees from religious persecution in Europe contributed to the genocide of native populations in the New World; and following political revolutions intellectuals, gays, and Jews were persecuted in the Soviet Union and Eastern Europe.</w:t>
      </w:r>
    </w:p>
    <w:p w14:paraId="58ADCF57" w14:textId="77777777" w:rsidR="009B191D" w:rsidRPr="009B191D" w:rsidRDefault="009B191D" w:rsidP="009B191D">
      <w:r w:rsidRPr="009B191D">
        <w:t>3</w:t>
      </w:r>
    </w:p>
    <w:p w14:paraId="1EF833F8" w14:textId="07ECCD8C" w:rsidR="009B191D" w:rsidRPr="009B191D" w:rsidRDefault="009B191D" w:rsidP="009B191D">
      <w:r w:rsidRPr="009B191D">
        <w:t xml:space="preserve">John Harris (2009) argues in favor of an obligation to engage in human genetic enhancements—both for one's children and oneself (131-132). He regards enhancements in human functioning as </w:t>
      </w:r>
      <w:r w:rsidRPr="009B191D">
        <w:lastRenderedPageBreak/>
        <w:t xml:space="preserve">improvements, by definition (131). Harris contends that a distinction between therapeutic and non-therapeutic enhancements is not useful since it "does not draw a morally significant or an explanatorily significant distinction" (143). In support of this assertion he suggests that vaccinations—which are difficult to classify as therapy or enhancement—represent enhancements. Reflecting on the notion of health as "species typical </w:t>
      </w:r>
      <w:r w:rsidRPr="009B191D">
        <w:drawing>
          <wp:inline distT="0" distB="0" distL="0" distR="0" wp14:anchorId="427A4DAC" wp14:editId="7B9B17CB">
            <wp:extent cx="981075" cy="142875"/>
            <wp:effectExtent l="0" t="0" r="9525" b="9525"/>
            <wp:docPr id="435067854"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294"/>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981075" cy="142875"/>
                    </a:xfrm>
                    <a:prstGeom prst="rect">
                      <a:avLst/>
                    </a:prstGeom>
                    <a:noFill/>
                    <a:ln>
                      <a:noFill/>
                    </a:ln>
                  </pic:spPr>
                </pic:pic>
              </a:graphicData>
            </a:graphic>
          </wp:inline>
        </w:drawing>
      </w:r>
      <w:r w:rsidRPr="009B191D">
        <w:t xml:space="preserve"> standard that has been used to distinguish therapies from </w:t>
      </w:r>
      <w:proofErr w:type="gramStart"/>
      <w:r w:rsidRPr="009B191D">
        <w:t>enhancements—</w:t>
      </w:r>
      <w:proofErr w:type="gramEnd"/>
      <w:r w:rsidRPr="009B191D">
        <w:t xml:space="preserve">Harris observes that diseases of the elderly may be species typical, but they are treated as </w:t>
      </w:r>
      <w:proofErr w:type="gramStart"/>
      <w:r w:rsidRPr="009B191D">
        <w:t>diseases</w:t>
      </w:r>
      <w:proofErr w:type="gramEnd"/>
      <w:r w:rsidRPr="009B191D">
        <w:t xml:space="preserve"> nonetheless.</w:t>
      </w:r>
    </w:p>
    <w:p w14:paraId="32EE7222" w14:textId="0782AB94" w:rsidR="009B191D" w:rsidRPr="009B191D" w:rsidRDefault="009B191D" w:rsidP="009B191D">
      <w:r w:rsidRPr="009B191D">
        <w:t xml:space="preserve">Harris explicitly adopts a utilitarian starting point, as is apparent in his assertion that </w:t>
      </w:r>
      <w:r w:rsidRPr="009B191D">
        <w:drawing>
          <wp:inline distT="0" distB="0" distL="0" distR="0" wp14:anchorId="6902A250" wp14:editId="64A42094">
            <wp:extent cx="247650" cy="133350"/>
            <wp:effectExtent l="0" t="0" r="0" b="0"/>
            <wp:docPr id="1579999322"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8377"/>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47650" cy="133350"/>
                    </a:xfrm>
                    <a:prstGeom prst="rect">
                      <a:avLst/>
                    </a:prstGeom>
                    <a:noFill/>
                    <a:ln>
                      <a:noFill/>
                    </a:ln>
                  </pic:spPr>
                </pic:pic>
              </a:graphicData>
            </a:graphic>
          </wp:inline>
        </w:drawing>
      </w:r>
      <w:r w:rsidRPr="009B191D">
        <w:t>moral imperative is the safety of the people and the duty to compare risks With benefits...on the basis of their magnitude and probability, on whether they will save life, or what is the same thing, postpone death and on how much harm and suffering may be prevented or avoided by the enhancements in question" (151).</w:t>
      </w:r>
    </w:p>
    <w:p w14:paraId="009D4F4F" w14:textId="77777777" w:rsidR="009B191D" w:rsidRPr="009B191D" w:rsidRDefault="009B191D" w:rsidP="009B191D">
      <w:r w:rsidRPr="009B191D">
        <w:t>Harris follows the logic of his utilitarian premise to a consistent conclusion. He cites cases of therapeutic enhancements ("resistance to diseases of old age and to those which strike at any time like HIV, cancer and heart disease") and non-therapeutic enhancements ("in cognitive function like memory or other processing skills, or to personality") and notes that non-therapeutic enhancements are more problematic only in so far as the benefits are problematic in more ways. Then he concludes; '(There seems to be no difference in principle here [between therapeutic and non-therapeutic enhancements] and so no difference in the relevant ethical considerations" (Harris 2009, 150).</w:t>
      </w:r>
    </w:p>
    <w:p w14:paraId="24B1F728" w14:textId="77777777" w:rsidR="009B191D" w:rsidRPr="009B191D" w:rsidRDefault="009B191D" w:rsidP="009B191D">
      <w:r w:rsidRPr="009B191D">
        <w:t>Ronald Green (2007) draws upon a Kantian-Rawlsian framework and supports an obligation to pursue both therapeutic and non-therapeutic genetic modifications for oneself and one's offspring. Green acknowledges that he sets out to "disturb our certainties" (170).</w:t>
      </w:r>
    </w:p>
    <w:p w14:paraId="5A63792E" w14:textId="0CDCC6ED" w:rsidR="009B191D" w:rsidRPr="009B191D" w:rsidRDefault="009B191D" w:rsidP="009B191D">
      <w:r w:rsidRPr="009B191D">
        <w:t xml:space="preserve">Green views Rawls as holding that "we are permitted to try to do as well for ourselves as we can" on the condition that we adopt the perspective that Rawls describes as the veil of ignorance. Green emphasizes access to "authority, power, goods, and privileges" (147) in the pursuit of doing as well as we can for ourselves. In his interpretation of Rawls' difference principle, </w:t>
      </w:r>
      <w:proofErr w:type="gramStart"/>
      <w:r w:rsidRPr="009B191D">
        <w:t>Green</w:t>
      </w:r>
      <w:proofErr w:type="gramEnd"/>
      <w:r w:rsidRPr="009B191D">
        <w:t xml:space="preserve"> writes: </w:t>
      </w:r>
      <w:r w:rsidRPr="009B191D">
        <w:drawing>
          <wp:inline distT="0" distB="0" distL="0" distR="0" wp14:anchorId="68FFD8EB" wp14:editId="1CBCAA44">
            <wp:extent cx="838200" cy="142875"/>
            <wp:effectExtent l="0" t="0" r="0" b="9525"/>
            <wp:docPr id="944152973"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512"/>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838200" cy="142875"/>
                    </a:xfrm>
                    <a:prstGeom prst="rect">
                      <a:avLst/>
                    </a:prstGeom>
                    <a:noFill/>
                    <a:ln>
                      <a:noFill/>
                    </a:ln>
                  </pic:spPr>
                </pic:pic>
              </a:graphicData>
            </a:graphic>
          </wp:inline>
        </w:drawing>
      </w:r>
      <w:r w:rsidRPr="009B191D">
        <w:t xml:space="preserve"> are permitted only if they are to the greatest benefit of the least well-off members of society and if everyone has an equal opportunity to become one of the most well-off" (149).</w:t>
      </w:r>
    </w:p>
    <w:p w14:paraId="352CD262" w14:textId="77777777" w:rsidR="009B191D" w:rsidRPr="009B191D" w:rsidRDefault="009B191D" w:rsidP="009B191D">
      <w:r w:rsidRPr="009B191D">
        <w:t xml:space="preserve">Green discusses why Rawls believes inequalities should be permitted according to the difference principle and notes that "even if we are placed at the same starting point in life's race, some of us will be winners and some losers" (149). He adds: </w:t>
      </w:r>
      <w:proofErr w:type="gramStart"/>
      <w:r w:rsidRPr="009B191D">
        <w:t>"1</w:t>
      </w:r>
      <w:proofErr w:type="gramEnd"/>
      <w:r w:rsidRPr="009B191D">
        <w:t>The difference principle) permits differences in rewards and power, but only on the condition that the differences work out to the advantage of everyone in society, especially the least fortunate" (149-150).</w:t>
      </w:r>
    </w:p>
    <w:p w14:paraId="138FD4B8" w14:textId="74B32D43" w:rsidR="009B191D" w:rsidRPr="009B191D" w:rsidRDefault="009B191D" w:rsidP="009B191D">
      <w:r w:rsidRPr="009B191D">
        <w:t xml:space="preserve">Green also views the "core insight" of Rawls on the issue of genetic enhancements as </w:t>
      </w:r>
      <w:r w:rsidRPr="009B191D">
        <w:drawing>
          <wp:inline distT="0" distB="0" distL="0" distR="0" wp14:anchorId="3A31AA8E" wp14:editId="512788AD">
            <wp:extent cx="9525" cy="9525"/>
            <wp:effectExtent l="0" t="0" r="0" b="0"/>
            <wp:docPr id="1440305761"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48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9B191D">
        <w:t>'</w:t>
      </w:r>
      <w:proofErr w:type="spellStart"/>
      <w:r w:rsidRPr="009B191D">
        <w:t>i</w:t>
      </w:r>
      <w:proofErr w:type="spellEnd"/>
      <w:r w:rsidRPr="009B191D">
        <w:t xml:space="preserve"> no one 'deserves' their winnings in nature's genetic lottery, so we must be prepared to think about providing everyone access to an improved genetic endowment" (155).</w:t>
      </w:r>
    </w:p>
    <w:p w14:paraId="0FE04587" w14:textId="77777777" w:rsidR="009B191D" w:rsidRPr="009B191D" w:rsidRDefault="009B191D" w:rsidP="009B191D">
      <w:r w:rsidRPr="009B191D">
        <w:t xml:space="preserve">Green takes note of the problem in political philosophy that people have difficulty placing themselves behind the veil of ignorance. "In general, people are reluctant to give up their </w:t>
      </w:r>
      <w:r w:rsidRPr="009B191D">
        <w:lastRenderedPageBreak/>
        <w:t xml:space="preserve">advantages or </w:t>
      </w:r>
      <w:proofErr w:type="gramStart"/>
      <w:r w:rsidRPr="009B191D">
        <w:t>share</w:t>
      </w:r>
      <w:proofErr w:type="gramEnd"/>
      <w:r w:rsidRPr="009B191D">
        <w:t xml:space="preserve"> with others in any way, or even to think from the perspective of the original position. This is a problem that plagues all theory in the field of political philosophy" (155)</w:t>
      </w:r>
    </w:p>
    <w:p w14:paraId="29D805BD" w14:textId="77777777" w:rsidR="009B191D" w:rsidRPr="009B191D" w:rsidRDefault="009B191D" w:rsidP="009B191D">
      <w:r w:rsidRPr="009B191D">
        <w:t>Green suggests the day may come when the right to a sound genotype is regarded as a universal right. He writes: "[W]e might come to think of a solid genetic endowment as a basic human right" (157). "[l]</w:t>
      </w:r>
      <w:proofErr w:type="gramStart"/>
      <w:r w:rsidRPr="009B191D">
        <w:t>n some</w:t>
      </w:r>
      <w:proofErr w:type="gramEnd"/>
      <w:r w:rsidRPr="009B191D">
        <w:t xml:space="preserve"> cases, gene enhancements may be the most efficient and least costly way of addressing urgent social problems" (167),</w:t>
      </w:r>
    </w:p>
    <w:p w14:paraId="5F60F841" w14:textId="77777777" w:rsidR="009B191D" w:rsidRPr="009B191D" w:rsidRDefault="009B191D" w:rsidP="009B191D">
      <w:r w:rsidRPr="009B191D">
        <w:t>Allen Buchanan and his co-authors (2000) support non-therapeutic as well as therapeutic uses of human genetic modification. They draw heavily on the work of one of the co-authors, Norman Daniels. They write: "In principle, there is nothing more (or less) problematic about a public policy directed toward implementing a certain conception of human improvement through genetic means than there is about a policy of enriching the cultural opportunities of citizens or of building beautiful parks.„. Earlier we argued that it is not plausible for public policy to draw a bright line that allows individuals to use genetic technology for treatments but prohibits them from choosing to undertake enhancements. We have now reached a parallel conclusion for collective choice: There is no basis for a blanket prohibition of any public policy initiative designed to promote the use of genetic technology for improvement rather than just for the prevention of disease or disability" (344-345).</w:t>
      </w:r>
    </w:p>
    <w:p w14:paraId="4F622207" w14:textId="77777777" w:rsidR="009B191D" w:rsidRPr="009B191D" w:rsidRDefault="009B191D" w:rsidP="009B191D">
      <w:pPr>
        <w:numPr>
          <w:ilvl w:val="0"/>
          <w:numId w:val="3"/>
        </w:numPr>
      </w:pPr>
      <w:r w:rsidRPr="009B191D">
        <w:t>The image of turning the cards face down was proposed by Ronald Green (Green 1986).</w:t>
      </w:r>
    </w:p>
    <w:p w14:paraId="02C040E9" w14:textId="77777777" w:rsidR="009B191D" w:rsidRPr="009B191D" w:rsidRDefault="009B191D" w:rsidP="009B191D">
      <w:pPr>
        <w:numPr>
          <w:ilvl w:val="0"/>
          <w:numId w:val="3"/>
        </w:numPr>
      </w:pPr>
      <w:r w:rsidRPr="009B191D">
        <w:t xml:space="preserve">Ethics of care: Annette Baier, Nel </w:t>
      </w:r>
      <w:proofErr w:type="spellStart"/>
      <w:r w:rsidRPr="009B191D">
        <w:t>Noddings</w:t>
      </w:r>
      <w:proofErr w:type="spellEnd"/>
      <w:r w:rsidRPr="009B191D">
        <w:t xml:space="preserve">; Virtue theory: Alasdair </w:t>
      </w:r>
      <w:proofErr w:type="spellStart"/>
      <w:r w:rsidRPr="009B191D">
        <w:t>MacIntyre</w:t>
      </w:r>
      <w:proofErr w:type="spellEnd"/>
      <w:r w:rsidRPr="009B191D">
        <w:t>, Erik Malmqvist; Communitarianism: Michael Sandel.</w:t>
      </w:r>
    </w:p>
    <w:p w14:paraId="2486E05F" w14:textId="77777777" w:rsidR="009B191D" w:rsidRPr="009B191D" w:rsidRDefault="009B191D" w:rsidP="009B191D">
      <w:pPr>
        <w:numPr>
          <w:ilvl w:val="0"/>
          <w:numId w:val="3"/>
        </w:numPr>
      </w:pPr>
      <w:r w:rsidRPr="009B191D">
        <w:t xml:space="preserve">Nel </w:t>
      </w:r>
      <w:proofErr w:type="spellStart"/>
      <w:r w:rsidRPr="009B191D">
        <w:t>Noddings</w:t>
      </w:r>
      <w:proofErr w:type="spellEnd"/>
      <w:r w:rsidRPr="009B191D">
        <w:t xml:space="preserve"> presents a morality grounded in relationship. She distinguishes natural care from ethical care, with ethical care arising from natural care. Natural care results from the experience of being cared for, and morality itself is grounded in this relational experience. Nodding contrasts a morality of care </w:t>
      </w:r>
      <w:proofErr w:type="gramStart"/>
      <w:r w:rsidRPr="009B191D">
        <w:t>With</w:t>
      </w:r>
      <w:proofErr w:type="gramEnd"/>
      <w:r w:rsidRPr="009B191D">
        <w:t xml:space="preserve"> a morality of contract (</w:t>
      </w:r>
      <w:proofErr w:type="spellStart"/>
      <w:r w:rsidRPr="009B191D">
        <w:t>Noddings</w:t>
      </w:r>
      <w:proofErr w:type="spellEnd"/>
      <w:r w:rsidRPr="009B191D">
        <w:t xml:space="preserve"> 2010). </w:t>
      </w:r>
      <w:proofErr w:type="spellStart"/>
      <w:r w:rsidRPr="009B191D">
        <w:t>Noddings</w:t>
      </w:r>
      <w:proofErr w:type="spellEnd"/>
      <w:r w:rsidRPr="009B191D">
        <w:t>' book Caring: A Relational Approach to Morality and Ethics (</w:t>
      </w:r>
      <w:proofErr w:type="spellStart"/>
      <w:r w:rsidRPr="009B191D">
        <w:t>Noddings</w:t>
      </w:r>
      <w:proofErr w:type="spellEnd"/>
      <w:r w:rsidRPr="009B191D">
        <w:t xml:space="preserve"> 2013) is the second edition of her 1984 book entitled Caring: A Feminine Approach to Ethics and Moral Education,</w:t>
      </w:r>
    </w:p>
    <w:p w14:paraId="655A590E" w14:textId="77777777" w:rsidR="009B191D" w:rsidRPr="009B191D" w:rsidRDefault="009B191D" w:rsidP="009B191D">
      <w:r w:rsidRPr="009B191D">
        <w:t>Rosemarie Tong (1997) describes an epistemological and a moral basis of care. She extends a call for men as well as women to exercise a virtue of care and supplies examples of how to exercise this virtue on the part of medical practitioners. In another essay, Tong (1998) responds to past debates over male vs. female ethics and proposes a virtue ethics that includes care as a main virtue. She argues that for a virtue ethics of care to flourish everyone— male and female—must be treated with equal respect and consideration.</w:t>
      </w:r>
    </w:p>
    <w:p w14:paraId="561755EF" w14:textId="77777777" w:rsidR="009B191D" w:rsidRPr="009B191D" w:rsidRDefault="009B191D" w:rsidP="009B191D">
      <w:r w:rsidRPr="009B191D">
        <w:t>Annette Baier (1987, 44-45) maintains that morality begins in unchosen relationships, such as the relationship between a child and a parent. The child does not choose the relationship but is born into it. Baier draws support for this view from Hume's moral theory.</w:t>
      </w:r>
    </w:p>
    <w:p w14:paraId="5848A896" w14:textId="77777777" w:rsidR="009B191D" w:rsidRPr="009B191D" w:rsidRDefault="009B191D" w:rsidP="009B191D">
      <w:r w:rsidRPr="009B191D">
        <w:t>Virginia Held (2006) presents an ethics of care as a moral theory and applies the theory to various contemporary issues.</w:t>
      </w:r>
    </w:p>
    <w:p w14:paraId="76785882" w14:textId="3108462D" w:rsidR="009B191D" w:rsidRPr="009B191D" w:rsidRDefault="009B191D" w:rsidP="009B191D">
      <w:r w:rsidRPr="009B191D">
        <w:t xml:space="preserve">An advocate of a morality of care, Sara Ruddick (1989) sees mothering as directed to the preservation, growth, and acceptability of the child. The competitive, hierarchical society poses a threat to the child: the mother recognizes and tries to protect the child from the </w:t>
      </w:r>
      <w:r w:rsidRPr="009B191D">
        <w:drawing>
          <wp:inline distT="0" distB="0" distL="0" distR="0" wp14:anchorId="36B6379E" wp14:editId="383A5629">
            <wp:extent cx="9525" cy="9525"/>
            <wp:effectExtent l="0" t="0" r="0" b="0"/>
            <wp:docPr id="1683248110"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3834"/>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9B191D">
        <w:t xml:space="preserve">dangers of such a </w:t>
      </w:r>
      <w:r w:rsidRPr="009B191D">
        <w:lastRenderedPageBreak/>
        <w:t>society. A virtue of parenting that stems from the parent's recognition of the child's fragility is clear-sighted cheerfulness. This attitude is present when one recognizes the harsh conditions that confront a child in the world but decides to nurture anyway.</w:t>
      </w:r>
    </w:p>
    <w:p w14:paraId="01E86127" w14:textId="77777777" w:rsidR="009B191D" w:rsidRPr="009B191D" w:rsidRDefault="009B191D" w:rsidP="009B191D">
      <w:r w:rsidRPr="009B191D">
        <w:t>7</w:t>
      </w:r>
    </w:p>
    <w:p w14:paraId="4AE3B443" w14:textId="77777777" w:rsidR="009B191D" w:rsidRPr="009B191D" w:rsidRDefault="009B191D" w:rsidP="009B191D">
      <w:r w:rsidRPr="009B191D">
        <w:t xml:space="preserve">The Aristotelian positions of Alasdair </w:t>
      </w:r>
      <w:proofErr w:type="spellStart"/>
      <w:r w:rsidRPr="009B191D">
        <w:t>MacIntyre</w:t>
      </w:r>
      <w:proofErr w:type="spellEnd"/>
      <w:r w:rsidRPr="009B191D">
        <w:t xml:space="preserve"> (1984) and Erik Malmqvist (2007, 2011) as well as the communitarian approach of Michael Sandel (2011) also focus on the parent-child relationship in moral development. I combine this focus with the Rawlsian social contract in developing the concept of a parent-child covenant.</w:t>
      </w:r>
    </w:p>
    <w:p w14:paraId="1C8756CB" w14:textId="77777777" w:rsidR="009B191D" w:rsidRPr="009B191D" w:rsidRDefault="009B191D" w:rsidP="009B191D">
      <w:r w:rsidRPr="009B191D">
        <w:t xml:space="preserve">The Aristotelian virtue tradition provides a helpful framework for reflecting on the impact of enhancements. The Aristotelian Alasdair </w:t>
      </w:r>
      <w:proofErr w:type="spellStart"/>
      <w:r w:rsidRPr="009B191D">
        <w:t>MacIntyre</w:t>
      </w:r>
      <w:proofErr w:type="spellEnd"/>
      <w:r w:rsidRPr="009B191D">
        <w:t xml:space="preserve"> points to a self-defeating feature of genetic enhancements. He observes that parents try to teach the young to be nonmanipulative. When parents order enhancements at early stages of the child's development, however, they are manipulating the future child. The practice of manipulating the offspring, then, is self- contradictory: one manipulates the child to have the quality of being nonmanipulative.</w:t>
      </w:r>
    </w:p>
    <w:p w14:paraId="7CB1A878" w14:textId="11BB298F" w:rsidR="009B191D" w:rsidRPr="009B191D" w:rsidRDefault="009B191D" w:rsidP="009B191D">
      <w:r w:rsidRPr="009B191D">
        <w:t>The issue for some Aristotelian thinkers is the negative impact that enhancement of offspring would have on the parent-child relationship. Erik Malmqvist contrasts parental decisions traditionally made on behalf of children with parental decisions that involve embryo</w:t>
      </w:r>
      <w:r w:rsidR="00C6391B">
        <w:t xml:space="preserve"> </w:t>
      </w:r>
      <w:r w:rsidRPr="009B191D">
        <w:t xml:space="preserve">manipulation. He points out that traditionally such decisions are relational, since the desires, needs, and responses of the child are </w:t>
      </w:r>
      <w:proofErr w:type="gramStart"/>
      <w:r w:rsidRPr="009B191D">
        <w:t>taken into account</w:t>
      </w:r>
      <w:proofErr w:type="gramEnd"/>
      <w:r w:rsidRPr="009B191D">
        <w:t>. However, decisions to enhance future children by manipulating the embryo are one-sided rather than relational.</w:t>
      </w:r>
    </w:p>
    <w:p w14:paraId="4698F975" w14:textId="77777777" w:rsidR="009B191D" w:rsidRPr="009B191D" w:rsidRDefault="009B191D" w:rsidP="009B191D">
      <w:r w:rsidRPr="009B191D">
        <w:t>To support his distinction between one-sided and relational decisions, Malmqvist (2011) adopts the Aristotelian distinction between practical knowledge (techne) and practical wisdom (phronesis). Practical knowledge enables a skilled craftsperson or artist to exercise a skill and transmit the knowledge to an apprentice. This involves the discovery of a set of rules and the application of these rules to the creation of new artifacts.</w:t>
      </w:r>
    </w:p>
    <w:p w14:paraId="75A6CCB3" w14:textId="77777777" w:rsidR="009B191D" w:rsidRPr="009B191D" w:rsidRDefault="009B191D" w:rsidP="009B191D">
      <w:r w:rsidRPr="009B191D">
        <w:t xml:space="preserve">Practical wisdom (phronesis), on the other hand, does not simply apply a set of rules to the production of new objects. It involves a level of judgment in which </w:t>
      </w:r>
      <w:proofErr w:type="gramStart"/>
      <w:r w:rsidRPr="009B191D">
        <w:t>past experience</w:t>
      </w:r>
      <w:proofErr w:type="gramEnd"/>
      <w:r w:rsidRPr="009B191D">
        <w:t xml:space="preserve"> is brought to bear on a new situation with new and different particular circumstances. In the case of raising a child, the particularities of the child are </w:t>
      </w:r>
      <w:proofErr w:type="gramStart"/>
      <w:r w:rsidRPr="009B191D">
        <w:t>taken into account</w:t>
      </w:r>
      <w:proofErr w:type="gramEnd"/>
      <w:r w:rsidRPr="009B191D">
        <w:t xml:space="preserve"> in the formation and guided development of the child.</w:t>
      </w:r>
    </w:p>
    <w:p w14:paraId="1B07EF02" w14:textId="37E34767" w:rsidR="009B191D" w:rsidRPr="009B191D" w:rsidRDefault="009B191D" w:rsidP="009B191D">
      <w:r w:rsidRPr="009B191D">
        <w:t xml:space="preserve">Malmqvist links one-sided parental decisions with techne and the claim to know in advance what is required for a child's well-being. However, in the relational knowledge present in the traditional practical wisdom (phronesis) of parents, the goals sought by parents are more complex than the goals of parents who seek to enhance by genetic means. Malmqvist uses as an example the parent's effort to promote such qualities as anger control. He finds that practical wisdom would approach the question of anger management by stressing the </w:t>
      </w:r>
      <w:proofErr w:type="spellStart"/>
      <w:proofErr w:type="gramStart"/>
      <w:r w:rsidRPr="009B191D">
        <w:t>openended</w:t>
      </w:r>
      <w:proofErr w:type="spellEnd"/>
      <w:proofErr w:type="gramEnd"/>
      <w:r w:rsidRPr="009B191D">
        <w:t xml:space="preserve"> nature of the training when a parent helps a child to develop self-control (the parent re</w:t>
      </w:r>
      <w:r w:rsidRPr="009B191D">
        <w:drawing>
          <wp:inline distT="0" distB="0" distL="0" distR="0" wp14:anchorId="68506CFC" wp14:editId="3C7A38D6">
            <wp:extent cx="9525" cy="9525"/>
            <wp:effectExtent l="0" t="0" r="0" b="0"/>
            <wp:docPr id="959590258"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7323"/>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9B191D">
        <w:t xml:space="preserve">defining his or her understanding of the role and importance of self-control) and the ongoing communication required in the attainment </w:t>
      </w:r>
      <w:proofErr w:type="gramStart"/>
      <w:r w:rsidRPr="009B191D">
        <w:t>Of</w:t>
      </w:r>
      <w:proofErr w:type="gramEnd"/>
      <w:r w:rsidRPr="009B191D">
        <w:t xml:space="preserve"> self-control.</w:t>
      </w:r>
    </w:p>
    <w:p w14:paraId="1A68DC7F" w14:textId="77777777" w:rsidR="009B191D" w:rsidRPr="009B191D" w:rsidRDefault="009B191D" w:rsidP="009B191D">
      <w:r w:rsidRPr="009B191D">
        <w:lastRenderedPageBreak/>
        <w:t>Malmqvist contends that the notion of phronesis is applicable to parenting, since the outcome is not known in advance, The child is prepared one day to become the equal of the parent. The characteristics of an artifact in a craft can be known in advance, but the characteristics of a child who will one day share a status of equality with the parent, Malmqvist observes, are not known in advance.</w:t>
      </w:r>
    </w:p>
    <w:p w14:paraId="43DFB387" w14:textId="1B822F51" w:rsidR="009B191D" w:rsidRPr="009B191D" w:rsidRDefault="009B191D" w:rsidP="009B191D">
      <w:r w:rsidRPr="009B191D">
        <w:t xml:space="preserve">Michael Sandel (2007) in </w:t>
      </w:r>
      <w:proofErr w:type="gramStart"/>
      <w:r w:rsidRPr="009B191D">
        <w:t>the communitarian</w:t>
      </w:r>
      <w:proofErr w:type="gramEnd"/>
      <w:r w:rsidRPr="009B191D">
        <w:t xml:space="preserve"> tradition echoes Malmqvist's notion of relational parenting in The Case Against Perfectionism. Sandel notes that some have made the case that parents already try to enhance their children, so genetic modification of the child is simply a continuation of existing "low-tech" practices. Sandel responds by criticizing '</w:t>
      </w:r>
      <w:proofErr w:type="spellStart"/>
      <w:r w:rsidRPr="009B191D">
        <w:t>i</w:t>
      </w:r>
      <w:proofErr w:type="spellEnd"/>
      <w:r w:rsidRPr="009B191D">
        <w:t xml:space="preserve"> </w:t>
      </w:r>
      <w:proofErr w:type="spellStart"/>
      <w:r w:rsidRPr="009B191D">
        <w:t>hyperparenting</w:t>
      </w:r>
      <w:proofErr w:type="spellEnd"/>
      <w:r w:rsidRPr="009B191D">
        <w:t xml:space="preserve">" itself—whether in the present low-tech form or in genetic enhancement of a child. He points out that high-pressure or hyper-parenting is more focused on parental desires than on the desires, needs, and wishes of the child. Sandel finds that parental decisions to seek </w:t>
      </w:r>
      <w:r w:rsidRPr="009B191D">
        <w:drawing>
          <wp:inline distT="0" distB="0" distL="0" distR="0" wp14:anchorId="7071F15C" wp14:editId="3839C688">
            <wp:extent cx="9525" cy="9525"/>
            <wp:effectExtent l="0" t="0" r="0" b="0"/>
            <wp:docPr id="21680378"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7325"/>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9B191D">
        <w:t xml:space="preserve">genetic enhancements of a child represent a form </w:t>
      </w:r>
      <w:proofErr w:type="gramStart"/>
      <w:r w:rsidRPr="009B191D">
        <w:t>Of</w:t>
      </w:r>
      <w:proofErr w:type="gramEnd"/>
      <w:r w:rsidRPr="009B191D">
        <w:t xml:space="preserve"> hyper-parenting and a ('drive to mastery" </w:t>
      </w:r>
      <w:r w:rsidRPr="009B191D">
        <w:drawing>
          <wp:inline distT="0" distB="0" distL="0" distR="0" wp14:anchorId="5E455340" wp14:editId="273B453D">
            <wp:extent cx="9525" cy="9525"/>
            <wp:effectExtent l="0" t="0" r="0" b="0"/>
            <wp:docPr id="382066936"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732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9B191D">
        <w:t>that overlooks life as a gift and comes perilously close to eugenics. (61-62).</w:t>
      </w:r>
    </w:p>
    <w:p w14:paraId="734AF9E7" w14:textId="79FEC81A" w:rsidR="009B191D" w:rsidRPr="009B191D" w:rsidRDefault="009B191D" w:rsidP="009B191D">
      <w:r w:rsidRPr="009B191D">
        <w:t xml:space="preserve">8 I take </w:t>
      </w:r>
      <w:r w:rsidR="00C6391B">
        <w:t>“</w:t>
      </w:r>
      <w:r w:rsidRPr="009B191D">
        <w:t>heads of families</w:t>
      </w:r>
      <w:r w:rsidR="00C6391B">
        <w:t>”</w:t>
      </w:r>
      <w:r w:rsidRPr="009B191D">
        <w:t xml:space="preserve"> to include father, mother, or any person or persons </w:t>
      </w:r>
      <w:r w:rsidR="00C6391B">
        <w:t>w</w:t>
      </w:r>
      <w:r w:rsidRPr="009B191D">
        <w:t xml:space="preserve">ho nurture a child through the period of dependency. A family may take many forms, but the core element is at least one person </w:t>
      </w:r>
      <w:r w:rsidR="00C6391B">
        <w:t>w</w:t>
      </w:r>
      <w:r w:rsidRPr="009B191D">
        <w:t xml:space="preserve">ho nurtures another through the period of childhood dependency. In </w:t>
      </w:r>
      <w:r w:rsidRPr="009B191D">
        <w:drawing>
          <wp:inline distT="0" distB="0" distL="0" distR="0" wp14:anchorId="2497AFC5" wp14:editId="6B3AE68C">
            <wp:extent cx="9525" cy="9525"/>
            <wp:effectExtent l="0" t="0" r="0" b="0"/>
            <wp:docPr id="769670374"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7326"/>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9B191D">
        <w:t>apprenticing the child to the existential choice, the parent's role includes that of teacher.</w:t>
      </w:r>
      <w:r w:rsidR="00C6391B">
        <w:t xml:space="preserve"> </w:t>
      </w:r>
      <w:r w:rsidRPr="009B191D">
        <w:t>Teachers thus play a secondary nurturing role,</w:t>
      </w:r>
    </w:p>
    <w:p w14:paraId="33BAFBA1" w14:textId="5577D06E" w:rsidR="009B191D" w:rsidRPr="009B191D" w:rsidRDefault="009B191D" w:rsidP="009B191D">
      <w:proofErr w:type="gramStart"/>
      <w:r w:rsidRPr="009B191D">
        <w:t>9</w:t>
      </w:r>
      <w:r w:rsidR="00C6391B">
        <w:t xml:space="preserve">  </w:t>
      </w:r>
      <w:r w:rsidRPr="009B191D">
        <w:t>Eric</w:t>
      </w:r>
      <w:proofErr w:type="gramEnd"/>
      <w:r w:rsidRPr="009B191D">
        <w:t xml:space="preserve"> Juengst has suggested these stipulations in personal communication.</w:t>
      </w:r>
    </w:p>
    <w:p w14:paraId="27540EE1" w14:textId="0E2AE5A0" w:rsidR="009B191D" w:rsidRPr="009B191D" w:rsidRDefault="009B191D" w:rsidP="009B191D">
      <w:r w:rsidRPr="009B191D">
        <w:t>10 I use "non-health</w:t>
      </w:r>
      <w:r w:rsidR="00C6391B">
        <w:t>-</w:t>
      </w:r>
      <w:r w:rsidRPr="009B191D">
        <w:t>related genetic modifications" and "genetic enhancements" as synonymous terms.</w:t>
      </w:r>
    </w:p>
    <w:p w14:paraId="5ECB9AD7" w14:textId="0C9CD65C" w:rsidR="009B191D" w:rsidRPr="009B191D" w:rsidRDefault="00C6391B" w:rsidP="009B191D">
      <w:r>
        <w:t>11</w:t>
      </w:r>
      <w:r w:rsidR="009B191D" w:rsidRPr="009B191D">
        <w:t xml:space="preserve"> I knew a deaf individual who interpreted a directive from his health insurer as requiring him to get a cochlear implant. He was quite distressed at the prospect, and he communicated to me through his interpreter: "But I am a complete person."</w:t>
      </w:r>
    </w:p>
    <w:p w14:paraId="4400006C" w14:textId="77777777" w:rsidR="009B191D" w:rsidRPr="009B191D" w:rsidRDefault="009B191D" w:rsidP="009B191D">
      <w:r w:rsidRPr="009B191D">
        <w:t>WORKS CITED</w:t>
      </w:r>
    </w:p>
    <w:p w14:paraId="4F1D12AA" w14:textId="77777777" w:rsidR="009B191D" w:rsidRPr="009B191D" w:rsidRDefault="009B191D" w:rsidP="009B191D">
      <w:r w:rsidRPr="009B191D">
        <w:t>Annas, G, J., L. B. Andrews, and R. M. Isasi. 2002. "Protecting the endangered human: Toward an international treaty prohibiting cloning and inheritable alterations," American Journal of Law and Medicine 28(2-3): 151-178.</w:t>
      </w:r>
    </w:p>
    <w:p w14:paraId="2961DF06" w14:textId="77777777" w:rsidR="009B191D" w:rsidRPr="009B191D" w:rsidRDefault="009B191D" w:rsidP="009B191D">
      <w:r w:rsidRPr="009B191D">
        <w:t xml:space="preserve">Baier, Annette. 1985. "What Do Women Want </w:t>
      </w:r>
      <w:proofErr w:type="gramStart"/>
      <w:r w:rsidRPr="009B191D">
        <w:t>In</w:t>
      </w:r>
      <w:proofErr w:type="gramEnd"/>
      <w:r w:rsidRPr="009B191D">
        <w:t xml:space="preserve"> a Moral Theory?" Nous 19 </w:t>
      </w:r>
      <w:proofErr w:type="gramStart"/>
      <w:r w:rsidRPr="009B191D">
        <w:t>[ l</w:t>
      </w:r>
      <w:proofErr w:type="gramEnd"/>
      <w:r w:rsidRPr="009B191D">
        <w:t>,</w:t>
      </w:r>
    </w:p>
    <w:p w14:paraId="2AB5A5CC" w14:textId="738C99E3" w:rsidR="009B191D" w:rsidRPr="009B191D" w:rsidRDefault="009B191D" w:rsidP="009B191D">
      <w:r w:rsidRPr="009B191D">
        <w:t>Baier, Annette. 1986. "Trust and Antitrust," Ethics, 96: 231-260.</w:t>
      </w:r>
      <w:r w:rsidRPr="009B191D">
        <w:drawing>
          <wp:inline distT="0" distB="0" distL="0" distR="0" wp14:anchorId="0737A763" wp14:editId="769CAC58">
            <wp:extent cx="9525" cy="9525"/>
            <wp:effectExtent l="0" t="0" r="0" b="0"/>
            <wp:docPr id="1521351143"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9185"/>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14:paraId="15A65AEE" w14:textId="77777777" w:rsidR="009B191D" w:rsidRPr="009B191D" w:rsidRDefault="009B191D" w:rsidP="009B191D">
      <w:r w:rsidRPr="009B191D">
        <w:t xml:space="preserve">Baier, Annette. 1987. "Hume: </w:t>
      </w:r>
      <w:proofErr w:type="gramStart"/>
      <w:r w:rsidRPr="009B191D">
        <w:t>the</w:t>
      </w:r>
      <w:proofErr w:type="gramEnd"/>
      <w:r w:rsidRPr="009B191D">
        <w:t xml:space="preserve"> Women's Moral Theorist?" In Women and Moral Theory, edited by Kittay, Eva Feder and Diana T, Meyers, 37-55, Totowa NJ: Rowman and Littlefield.</w:t>
      </w:r>
    </w:p>
    <w:p w14:paraId="29FB0B71" w14:textId="77777777" w:rsidR="009B191D" w:rsidRPr="009B191D" w:rsidRDefault="009B191D" w:rsidP="009B191D">
      <w:r w:rsidRPr="009B191D">
        <w:t>Baynton, Douglas. 2016. Defectives in the Land: Disability and Immigration in the Age of Eugenics. University of Chicago Press.</w:t>
      </w:r>
    </w:p>
    <w:p w14:paraId="1EF2C39F" w14:textId="77777777" w:rsidR="009B191D" w:rsidRPr="009B191D" w:rsidRDefault="009B191D" w:rsidP="009B191D">
      <w:r w:rsidRPr="009B191D">
        <w:t xml:space="preserve">Benatar, David. 2006. Better Never </w:t>
      </w:r>
      <w:proofErr w:type="gramStart"/>
      <w:r w:rsidRPr="009B191D">
        <w:t>To</w:t>
      </w:r>
      <w:proofErr w:type="gramEnd"/>
      <w:r w:rsidRPr="009B191D">
        <w:t xml:space="preserve"> Hove Been: The Harm of Coming into Existence. Oxford University Press.</w:t>
      </w:r>
    </w:p>
    <w:p w14:paraId="62476EDF" w14:textId="77777777" w:rsidR="009B191D" w:rsidRPr="009B191D" w:rsidRDefault="009B191D" w:rsidP="009B191D">
      <w:r w:rsidRPr="009B191D">
        <w:lastRenderedPageBreak/>
        <w:t>Bostrom, Nick, and Rebecca Roache. 2008. "Ethical Issues in Human Enhancements." New Waves in Applied Ethics, edited by Jesper Ryberg, Thomas Petersen and Clark Wolf, 120-152.</w:t>
      </w:r>
    </w:p>
    <w:p w14:paraId="69753F1F" w14:textId="77777777" w:rsidR="009B191D" w:rsidRPr="009B191D" w:rsidRDefault="009B191D" w:rsidP="009B191D">
      <w:proofErr w:type="spellStart"/>
      <w:r w:rsidRPr="009B191D">
        <w:t>Pelgrave</w:t>
      </w:r>
      <w:proofErr w:type="spellEnd"/>
      <w:r w:rsidRPr="009B191D">
        <w:t xml:space="preserve"> Macmillan. Accessed July 20, 2017.</w:t>
      </w:r>
    </w:p>
    <w:p w14:paraId="5203677F" w14:textId="77777777" w:rsidR="009B191D" w:rsidRPr="009B191D" w:rsidRDefault="009B191D" w:rsidP="009B191D">
      <w:r w:rsidRPr="009B191D">
        <w:rPr>
          <w:u w:val="single"/>
        </w:rPr>
        <w:t>http://www.nickbostrom.com/ethics/human-enhancement.html</w:t>
      </w:r>
    </w:p>
    <w:p w14:paraId="67A647CE" w14:textId="2E66060C" w:rsidR="009B191D" w:rsidRPr="009B191D" w:rsidRDefault="009B191D" w:rsidP="009B191D">
      <w:r w:rsidRPr="009B191D">
        <mc:AlternateContent>
          <mc:Choice Requires="wpg">
            <w:drawing>
              <wp:inline distT="0" distB="0" distL="0" distR="0" wp14:anchorId="03868A1E" wp14:editId="02205B95">
                <wp:extent cx="5939155" cy="12065"/>
                <wp:effectExtent l="9525" t="9525" r="13970" b="6985"/>
                <wp:docPr id="1552013302" name="Group 9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39155" cy="12065"/>
                          <a:chOff x="0" y="0"/>
                          <a:chExt cx="59394" cy="121"/>
                        </a:xfrm>
                      </wpg:grpSpPr>
                      <wps:wsp>
                        <wps:cNvPr id="1230043940" name="Shape 328389"/>
                        <wps:cNvSpPr>
                          <a:spLocks/>
                        </wps:cNvSpPr>
                        <wps:spPr bwMode="auto">
                          <a:xfrm>
                            <a:off x="0" y="0"/>
                            <a:ext cx="59394" cy="121"/>
                          </a:xfrm>
                          <a:custGeom>
                            <a:avLst/>
                            <a:gdLst>
                              <a:gd name="T0" fmla="*/ 0 w 5939469"/>
                              <a:gd name="T1" fmla="*/ 6082 h 12163"/>
                              <a:gd name="T2" fmla="*/ 5939469 w 5939469"/>
                              <a:gd name="T3" fmla="*/ 6082 h 12163"/>
                              <a:gd name="T4" fmla="*/ 0 w 5939469"/>
                              <a:gd name="T5" fmla="*/ 0 h 12163"/>
                              <a:gd name="T6" fmla="*/ 5939469 w 5939469"/>
                              <a:gd name="T7" fmla="*/ 12163 h 12163"/>
                            </a:gdLst>
                            <a:ahLst/>
                            <a:cxnLst>
                              <a:cxn ang="0">
                                <a:pos x="T0" y="T1"/>
                              </a:cxn>
                              <a:cxn ang="0">
                                <a:pos x="T2" y="T3"/>
                              </a:cxn>
                            </a:cxnLst>
                            <a:rect l="T4" t="T5" r="T6" b="T7"/>
                            <a:pathLst>
                              <a:path w="5939469" h="12163">
                                <a:moveTo>
                                  <a:pt x="0" y="6082"/>
                                </a:moveTo>
                                <a:lnTo>
                                  <a:pt x="5939469" y="6082"/>
                                </a:lnTo>
                              </a:path>
                            </a:pathLst>
                          </a:custGeom>
                          <a:noFill/>
                          <a:ln w="12163">
                            <a:solidFill>
                              <a:srgbClr val="000000"/>
                            </a:solidFill>
                            <a:miter lim="1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2A9A3FAA" id="Group 99" o:spid="_x0000_s1026" style="width:467.65pt;height:.95pt;mso-position-horizontal-relative:char;mso-position-vertical-relative:line" coordsize="59394,1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">
                <v:shape id="Shape 328389" o:spid="_x0000_s1027" style="position:absolute;width:59394;height:121;visibility:visible;mso-wrap-style:square;v-text-anchor:top" coordsize="5939469,121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" path="m,6082r5939469,e" filled="f" strokeweight=".33786mm">
                  <v:stroke miterlimit="1" joinstyle="miter"/>
                  <v:path arrowok="t" o:connecttype="custom" o:connectlocs="0,61;59394,61" o:connectangles="0,0" textboxrect="0,0,5939469,12163"/>
                </v:shape>
                <w10:anchorlock/>
              </v:group>
            </w:pict>
          </mc:Fallback>
        </mc:AlternateContent>
      </w:r>
    </w:p>
    <w:p w14:paraId="711D8D6A" w14:textId="77777777" w:rsidR="009B191D" w:rsidRPr="009B191D" w:rsidRDefault="009B191D" w:rsidP="009B191D">
      <w:r w:rsidRPr="009B191D">
        <w:t>Buchanan, Allen, Dan W. Brock, Norman Daniels, and Daniel Wikler. 2000. From Chance to Choice: Genetics and Justice. Cambridge University Press.</w:t>
      </w:r>
    </w:p>
    <w:p w14:paraId="15C704B6" w14:textId="77777777" w:rsidR="009B191D" w:rsidRPr="009B191D" w:rsidRDefault="009B191D" w:rsidP="009B191D">
      <w:r w:rsidRPr="009B191D">
        <w:t>Blendon, R.J., M. T. Gorski, and J. M. Benson, M.A. 2016. "The Public and the Gene-editing Revolution." New England Journal of Medicine 374(15):1406-1411.</w:t>
      </w:r>
    </w:p>
    <w:p w14:paraId="0F0C6E7F" w14:textId="77777777" w:rsidR="009B191D" w:rsidRPr="009B191D" w:rsidRDefault="009B191D" w:rsidP="009B191D">
      <w:r w:rsidRPr="009B191D">
        <w:t>Carnus, Albert. 1955. The Myth of Sisyphus and Other Essays. New York: Random House.</w:t>
      </w:r>
    </w:p>
    <w:p w14:paraId="6AF7B056" w14:textId="77777777" w:rsidR="009B191D" w:rsidRPr="009B191D" w:rsidRDefault="009B191D" w:rsidP="009B191D">
      <w:r w:rsidRPr="009B191D">
        <w:t>Camus, Albert. 1972. A Happy Death. New York: Alfred A. Knopf.</w:t>
      </w:r>
    </w:p>
    <w:p w14:paraId="3B34C7E8" w14:textId="77777777" w:rsidR="009B191D" w:rsidRPr="009B191D" w:rsidRDefault="009B191D" w:rsidP="009B191D">
      <w:r w:rsidRPr="009B191D">
        <w:t>Chapman, R. &amp; Frankel, S. 2003. Designing Our Descendants: The Promises and Perils of Genetic Modifications. Baltimore: Johns Hopkins University Press.</w:t>
      </w:r>
    </w:p>
    <w:p w14:paraId="72E5E213" w14:textId="77777777" w:rsidR="009B191D" w:rsidRPr="009B191D" w:rsidRDefault="009B191D" w:rsidP="009B191D">
      <w:r w:rsidRPr="009B191D">
        <w:t xml:space="preserve">Chesterton, G.K. 1922. Eugenics and Other Evils, London: Cassell and </w:t>
      </w:r>
      <w:proofErr w:type="gramStart"/>
      <w:r w:rsidRPr="009B191D">
        <w:t>Company,</w:t>
      </w:r>
      <w:proofErr w:type="gramEnd"/>
      <w:r w:rsidRPr="009B191D">
        <w:t xml:space="preserve"> Ltd</w:t>
      </w:r>
    </w:p>
    <w:p w14:paraId="781EE816" w14:textId="77777777" w:rsidR="009B191D" w:rsidRPr="009B191D" w:rsidRDefault="009B191D" w:rsidP="009B191D">
      <w:r w:rsidRPr="009B191D">
        <w:t xml:space="preserve">Congregation for the Doctrine </w:t>
      </w:r>
      <w:proofErr w:type="gramStart"/>
      <w:r w:rsidRPr="009B191D">
        <w:t>Of</w:t>
      </w:r>
      <w:proofErr w:type="gramEnd"/>
      <w:r w:rsidRPr="009B191D">
        <w:t xml:space="preserve"> </w:t>
      </w:r>
      <w:proofErr w:type="gramStart"/>
      <w:r w:rsidRPr="009B191D">
        <w:t>the Faith</w:t>
      </w:r>
      <w:proofErr w:type="gramEnd"/>
      <w:r w:rsidRPr="009B191D">
        <w:t>. 2008. Dignitas Personae.</w:t>
      </w:r>
    </w:p>
    <w:p w14:paraId="54BA977E" w14:textId="77777777" w:rsidR="009B191D" w:rsidRPr="009B191D" w:rsidRDefault="009B191D" w:rsidP="009B191D">
      <w:r w:rsidRPr="009B191D">
        <w:t>Confucius. The Analects. In Sources of Chinese Tradition, 1960. Edited by Wm. Theodore de Bary, Vol. I, Columbia University Press,</w:t>
      </w:r>
    </w:p>
    <w:p w14:paraId="15528E39" w14:textId="77777777" w:rsidR="009B191D" w:rsidRPr="009B191D" w:rsidRDefault="009B191D" w:rsidP="009B191D">
      <w:r w:rsidRPr="009B191D">
        <w:t>Evans, John H. 2002, Playing God: Human Genetic Engineering and the Rationalization of Public Bioethical Debate, University of Chicago Press.</w:t>
      </w:r>
    </w:p>
    <w:p w14:paraId="1B26E532" w14:textId="77777777" w:rsidR="009B191D" w:rsidRPr="009B191D" w:rsidRDefault="009B191D" w:rsidP="009B191D">
      <w:r w:rsidRPr="009B191D">
        <w:t xml:space="preserve">Green, Ronald. 1986. "The Rawls Game," </w:t>
      </w:r>
      <w:proofErr w:type="spellStart"/>
      <w:r w:rsidRPr="009B191D">
        <w:rPr>
          <w:u w:val="single"/>
        </w:rPr>
        <w:t>Teachinq</w:t>
      </w:r>
      <w:proofErr w:type="spellEnd"/>
      <w:r w:rsidRPr="009B191D">
        <w:rPr>
          <w:u w:val="single"/>
        </w:rPr>
        <w:t xml:space="preserve"> Philosophy, </w:t>
      </w:r>
      <w:r w:rsidRPr="009B191D">
        <w:t>9 (1): 51-60.</w:t>
      </w:r>
    </w:p>
    <w:p w14:paraId="3E336364" w14:textId="77777777" w:rsidR="009B191D" w:rsidRPr="009B191D" w:rsidRDefault="009B191D" w:rsidP="009B191D">
      <w:r w:rsidRPr="009B191D">
        <w:t>Green, Ronald. 2007. Babies by Design: The Ethics of Genetic Choice. Yale University Press.</w:t>
      </w:r>
    </w:p>
    <w:p w14:paraId="5478BDF5" w14:textId="77777777" w:rsidR="009B191D" w:rsidRPr="009B191D" w:rsidRDefault="009B191D" w:rsidP="009B191D">
      <w:r w:rsidRPr="009B191D">
        <w:t>Harris, John. 2009. '"Enhancements Are a Moral Obligation." In Human Enhancement, edited by Julian Savulescu and Nick Bostrom, 131-154. Oxford University Press.</w:t>
      </w:r>
    </w:p>
    <w:p w14:paraId="371C368C" w14:textId="77777777" w:rsidR="009B191D" w:rsidRPr="009B191D" w:rsidRDefault="009B191D" w:rsidP="009B191D">
      <w:r w:rsidRPr="009B191D">
        <w:t>Held, Virginia. 2006. The Ethics of Care: Personal, Political, and Global. Oxford University Press.</w:t>
      </w:r>
    </w:p>
    <w:p w14:paraId="50656AD5" w14:textId="26CF90EB" w:rsidR="009B191D" w:rsidRPr="009B191D" w:rsidRDefault="009B191D" w:rsidP="009B191D">
      <w:r w:rsidRPr="009B191D">
        <w:t>Hobbes, Thomas. 1651. Leviathan. Penguin Books, 1968.</w:t>
      </w:r>
      <w:r w:rsidRPr="009B191D">
        <w:drawing>
          <wp:inline distT="0" distB="0" distL="0" distR="0" wp14:anchorId="63329313" wp14:editId="70AFE420">
            <wp:extent cx="9525" cy="9525"/>
            <wp:effectExtent l="0" t="0" r="0" b="0"/>
            <wp:docPr id="68130852"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863"/>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14:paraId="5DC03C47" w14:textId="77777777" w:rsidR="009B191D" w:rsidRPr="009B191D" w:rsidRDefault="009B191D" w:rsidP="009B191D">
      <w:r w:rsidRPr="009B191D">
        <w:t xml:space="preserve">Jonas, Hans. 1984. The Imperative of Responsibility: In Search </w:t>
      </w:r>
      <w:proofErr w:type="gramStart"/>
      <w:r w:rsidRPr="009B191D">
        <w:t>of</w:t>
      </w:r>
      <w:proofErr w:type="gramEnd"/>
      <w:r w:rsidRPr="009B191D">
        <w:t xml:space="preserve"> an Ethics for the Technological Age. University of Chicago Press.</w:t>
      </w:r>
    </w:p>
    <w:p w14:paraId="32D553E6" w14:textId="77777777" w:rsidR="009B191D" w:rsidRPr="009B191D" w:rsidRDefault="009B191D" w:rsidP="009B191D">
      <w:proofErr w:type="spellStart"/>
      <w:r w:rsidRPr="009B191D">
        <w:t>Juenst</w:t>
      </w:r>
      <w:proofErr w:type="spellEnd"/>
      <w:r w:rsidRPr="009B191D">
        <w:t>, Eric. 2017. "Crowd Sourcing the Moral Limits of Human Gene Editing." Hastings Center Report, May-</w:t>
      </w:r>
      <w:proofErr w:type="gramStart"/>
      <w:r w:rsidRPr="009B191D">
        <w:t>June,</w:t>
      </w:r>
      <w:proofErr w:type="gramEnd"/>
      <w:r w:rsidRPr="009B191D">
        <w:t xml:space="preserve"> 15-23.</w:t>
      </w:r>
    </w:p>
    <w:p w14:paraId="3D006BCE" w14:textId="0DB26C5C" w:rsidR="009B191D" w:rsidRPr="009B191D" w:rsidRDefault="009B191D" w:rsidP="009B191D">
      <w:r w:rsidRPr="009B191D">
        <mc:AlternateContent>
          <mc:Choice Requires="wpg">
            <w:drawing>
              <wp:inline distT="0" distB="0" distL="0" distR="0" wp14:anchorId="5B6D4BAE" wp14:editId="3C7C7572">
                <wp:extent cx="5921375" cy="12065"/>
                <wp:effectExtent l="9525" t="9525" r="12700" b="6985"/>
                <wp:docPr id="689750862" name="Group 9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21375" cy="12065"/>
                          <a:chOff x="0" y="0"/>
                          <a:chExt cx="59212" cy="121"/>
                        </a:xfrm>
                      </wpg:grpSpPr>
                      <wps:wsp>
                        <wps:cNvPr id="1161165342" name="Shape 328391"/>
                        <wps:cNvSpPr>
                          <a:spLocks/>
                        </wps:cNvSpPr>
                        <wps:spPr bwMode="auto">
                          <a:xfrm>
                            <a:off x="0" y="0"/>
                            <a:ext cx="59212" cy="121"/>
                          </a:xfrm>
                          <a:custGeom>
                            <a:avLst/>
                            <a:gdLst>
                              <a:gd name="T0" fmla="*/ 0 w 5921231"/>
                              <a:gd name="T1" fmla="*/ 6082 h 12163"/>
                              <a:gd name="T2" fmla="*/ 5921231 w 5921231"/>
                              <a:gd name="T3" fmla="*/ 6082 h 12163"/>
                              <a:gd name="T4" fmla="*/ 0 w 5921231"/>
                              <a:gd name="T5" fmla="*/ 0 h 12163"/>
                              <a:gd name="T6" fmla="*/ 5921231 w 5921231"/>
                              <a:gd name="T7" fmla="*/ 12163 h 12163"/>
                            </a:gdLst>
                            <a:ahLst/>
                            <a:cxnLst>
                              <a:cxn ang="0">
                                <a:pos x="T0" y="T1"/>
                              </a:cxn>
                              <a:cxn ang="0">
                                <a:pos x="T2" y="T3"/>
                              </a:cxn>
                            </a:cxnLst>
                            <a:rect l="T4" t="T5" r="T6" b="T7"/>
                            <a:pathLst>
                              <a:path w="5921231" h="12163">
                                <a:moveTo>
                                  <a:pt x="0" y="6082"/>
                                </a:moveTo>
                                <a:lnTo>
                                  <a:pt x="5921231" y="6082"/>
                                </a:lnTo>
                              </a:path>
                            </a:pathLst>
                          </a:custGeom>
                          <a:noFill/>
                          <a:ln w="12163">
                            <a:solidFill>
                              <a:srgbClr val="000000"/>
                            </a:solidFill>
                            <a:miter lim="1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776CFEF6" id="Group 98" o:spid="_x0000_s1026" style="width:466.25pt;height:.95pt;mso-position-horizontal-relative:char;mso-position-vertical-relative:line" coordsize="59212,1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">
                <v:shape id="Shape 328391" o:spid="_x0000_s1027" style="position:absolute;width:59212;height:121;visibility:visible;mso-wrap-style:square;v-text-anchor:top" coordsize="5921231,121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" path="m,6082r5921231,e" filled="f" strokeweight=".33786mm">
                  <v:stroke miterlimit="1" joinstyle="miter"/>
                  <v:path arrowok="t" o:connecttype="custom" o:connectlocs="0,61;59212,61" o:connectangles="0,0" textboxrect="0,0,5921231,12163"/>
                </v:shape>
                <w10:anchorlock/>
              </v:group>
            </w:pict>
          </mc:Fallback>
        </mc:AlternateContent>
      </w:r>
    </w:p>
    <w:p w14:paraId="5434A217" w14:textId="77777777" w:rsidR="009B191D" w:rsidRPr="009B191D" w:rsidRDefault="009B191D" w:rsidP="009B191D">
      <w:proofErr w:type="spellStart"/>
      <w:r w:rsidRPr="009B191D">
        <w:t>Kevles</w:t>
      </w:r>
      <w:proofErr w:type="spellEnd"/>
      <w:r w:rsidRPr="009B191D">
        <w:t>, D. J. 1985. In the Name of Eugenics: Genetics and the Uses of Human Heredity. Cambridge, MA: Harvard University Press.</w:t>
      </w:r>
    </w:p>
    <w:p w14:paraId="023B278C" w14:textId="77777777" w:rsidR="009B191D" w:rsidRPr="009B191D" w:rsidRDefault="009B191D" w:rsidP="009B191D">
      <w:r w:rsidRPr="009B191D">
        <w:lastRenderedPageBreak/>
        <w:t>Kittay, Eva Feder and Diana T. Meyers, eds., 1987. Women and Moral Theory, Totowa NJ: Rowman and Littlefield.</w:t>
      </w:r>
    </w:p>
    <w:p w14:paraId="3268DB82" w14:textId="77777777" w:rsidR="009B191D" w:rsidRPr="009B191D" w:rsidRDefault="009B191D" w:rsidP="009B191D">
      <w:r w:rsidRPr="009B191D">
        <w:t xml:space="preserve">Lombardo, Paul. 2011. A Century </w:t>
      </w:r>
      <w:proofErr w:type="gramStart"/>
      <w:r w:rsidRPr="009B191D">
        <w:t>Of</w:t>
      </w:r>
      <w:proofErr w:type="gramEnd"/>
      <w:r w:rsidRPr="009B191D">
        <w:t xml:space="preserve"> Eugenics in America: From the Indiana Experiment to the Human Genome Era. Indiana University Press.</w:t>
      </w:r>
    </w:p>
    <w:p w14:paraId="7BB9E62A" w14:textId="04C0A27E" w:rsidR="009B191D" w:rsidRPr="009B191D" w:rsidRDefault="009B191D" w:rsidP="009B191D">
      <w:proofErr w:type="spellStart"/>
      <w:r w:rsidRPr="009B191D">
        <w:t>MacIntyre</w:t>
      </w:r>
      <w:proofErr w:type="spellEnd"/>
      <w:r w:rsidRPr="009B191D">
        <w:t>, Alasdair. 1984. After Virtue, 2</w:t>
      </w:r>
      <w:r w:rsidRPr="009B191D">
        <w:rPr>
          <w:vertAlign w:val="superscript"/>
        </w:rPr>
        <w:t xml:space="preserve">nd </w:t>
      </w:r>
      <w:r w:rsidRPr="009B191D">
        <w:t>ed., University of Notre Dame Press.</w:t>
      </w:r>
      <w:r w:rsidRPr="009B191D">
        <w:drawing>
          <wp:inline distT="0" distB="0" distL="0" distR="0" wp14:anchorId="2FC6A32C" wp14:editId="2F23A012">
            <wp:extent cx="9525" cy="9525"/>
            <wp:effectExtent l="0" t="0" r="0" b="0"/>
            <wp:docPr id="1299318848"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2471"/>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14:paraId="25BFC53B" w14:textId="77777777" w:rsidR="009B191D" w:rsidRPr="009B191D" w:rsidRDefault="009B191D" w:rsidP="009B191D">
      <w:r w:rsidRPr="009B191D">
        <w:t xml:space="preserve">Mahowald, Mary B., 1996. "Genetic Technologies and Their Implications for Women," The University of Chicago Law School Roundtable, Vol. 3, Issue 2, Article 4. Accessed July 20, 2017. </w:t>
      </w:r>
      <w:r w:rsidRPr="009B191D">
        <w:rPr>
          <w:u w:val="single"/>
        </w:rPr>
        <w:t>http://chicagounbound.uchicago.edu/cAi/viewcontent.cgi?article=1359&amp;context=roundtable</w:t>
      </w:r>
    </w:p>
    <w:p w14:paraId="48FE3888" w14:textId="77777777" w:rsidR="009B191D" w:rsidRPr="009B191D" w:rsidRDefault="009B191D" w:rsidP="009B191D">
      <w:r w:rsidRPr="009B191D">
        <w:t>Malmqvist, Erik. 2007. "</w:t>
      </w:r>
      <w:proofErr w:type="spellStart"/>
      <w:r w:rsidRPr="009B191D">
        <w:t>Analysing</w:t>
      </w:r>
      <w:proofErr w:type="spellEnd"/>
      <w:r w:rsidRPr="009B191D">
        <w:t xml:space="preserve"> our qualms about "designing" future </w:t>
      </w:r>
      <w:proofErr w:type="gramStart"/>
      <w:r w:rsidRPr="009B191D">
        <w:t>persons</w:t>
      </w:r>
      <w:proofErr w:type="gramEnd"/>
      <w:r w:rsidRPr="009B191D">
        <w:t>: Autonomy, freedom of choice, and interfering with nature." Medicine, Health Care and Philosophy, 10:407.</w:t>
      </w:r>
    </w:p>
    <w:p w14:paraId="5BCB99EA" w14:textId="4BA4F86E" w:rsidR="009B191D" w:rsidRPr="009B191D" w:rsidRDefault="009B191D" w:rsidP="009B191D">
      <w:r w:rsidRPr="009B191D">
        <w:t xml:space="preserve">Malmqvist, Erik. 2009, Good Parents, Better Babies: An Argument about Reproductive </w:t>
      </w:r>
      <w:r w:rsidRPr="009B191D">
        <w:drawing>
          <wp:inline distT="0" distB="0" distL="0" distR="0" wp14:anchorId="726E9DE2" wp14:editId="05BD5650">
            <wp:extent cx="9525" cy="9525"/>
            <wp:effectExtent l="0" t="0" r="0" b="0"/>
            <wp:docPr id="232865648"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247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9B191D">
        <w:t>Technologies, Enhancement and Ethics. VDM Verlag.</w:t>
      </w:r>
    </w:p>
    <w:p w14:paraId="2CDC7E0D" w14:textId="77777777" w:rsidR="009B191D" w:rsidRPr="009B191D" w:rsidRDefault="009B191D" w:rsidP="009B191D">
      <w:r w:rsidRPr="009B191D">
        <w:t>Malmqvist, Erik. 2011. "</w:t>
      </w:r>
      <w:proofErr w:type="spellStart"/>
      <w:r w:rsidRPr="009B191D">
        <w:t>Reprogenetics</w:t>
      </w:r>
      <w:proofErr w:type="spellEnd"/>
      <w:r w:rsidRPr="009B191D">
        <w:t xml:space="preserve"> and the 'Parents Have Always Done It' Argument." Hastings Center Report 41 (l): 43-49.</w:t>
      </w:r>
    </w:p>
    <w:p w14:paraId="21DC7C9C" w14:textId="77777777" w:rsidR="009B191D" w:rsidRPr="009B191D" w:rsidRDefault="009B191D" w:rsidP="009B191D">
      <w:r w:rsidRPr="009B191D">
        <w:t>NASEM (National Academies of Sciences, Engineering, and Medicine), 2017, Human Genome Editing: Science, Ethics, and Governance. Washington, DC: The National Academies Press. Doi:17226/24623</w:t>
      </w:r>
    </w:p>
    <w:p w14:paraId="22A535E1" w14:textId="77777777" w:rsidR="009B191D" w:rsidRPr="009B191D" w:rsidRDefault="009B191D" w:rsidP="009B191D">
      <w:proofErr w:type="spellStart"/>
      <w:r w:rsidRPr="009B191D">
        <w:t>Noddings</w:t>
      </w:r>
      <w:proofErr w:type="spellEnd"/>
      <w:r w:rsidRPr="009B191D">
        <w:t>, Nei. 1984. Coring: A Feminine Approach to Ethics and Mora/ Education. Berkeley: University of California Press.</w:t>
      </w:r>
    </w:p>
    <w:p w14:paraId="3710BDF9" w14:textId="77777777" w:rsidR="009B191D" w:rsidRPr="009B191D" w:rsidRDefault="009B191D" w:rsidP="009B191D">
      <w:proofErr w:type="spellStart"/>
      <w:r w:rsidRPr="009B191D">
        <w:t>Noddings</w:t>
      </w:r>
      <w:proofErr w:type="spellEnd"/>
      <w:r w:rsidRPr="009B191D">
        <w:t>, Nel, 2010. The Maternal Factor: Two Paths to Morality: Berkeley: University of California Press.</w:t>
      </w:r>
    </w:p>
    <w:p w14:paraId="1854CD01" w14:textId="77777777" w:rsidR="009B191D" w:rsidRPr="009B191D" w:rsidRDefault="009B191D" w:rsidP="009B191D">
      <w:proofErr w:type="spellStart"/>
      <w:r w:rsidRPr="009B191D">
        <w:t>Noddings</w:t>
      </w:r>
      <w:proofErr w:type="spellEnd"/>
      <w:r w:rsidRPr="009B191D">
        <w:t xml:space="preserve">, Nel. 2013. Caring: A Relational Approach to Morality and Ethics. 2 </w:t>
      </w:r>
      <w:proofErr w:type="spellStart"/>
      <w:r w:rsidRPr="009B191D">
        <w:rPr>
          <w:vertAlign w:val="superscript"/>
        </w:rPr>
        <w:t>nd</w:t>
      </w:r>
      <w:proofErr w:type="spellEnd"/>
      <w:r w:rsidRPr="009B191D">
        <w:rPr>
          <w:vertAlign w:val="superscript"/>
        </w:rPr>
        <w:t xml:space="preserve"> </w:t>
      </w:r>
      <w:r w:rsidRPr="009B191D">
        <w:t>ed. Berkeley: University of California Press.</w:t>
      </w:r>
    </w:p>
    <w:p w14:paraId="08496726" w14:textId="50F132D5" w:rsidR="009B191D" w:rsidRPr="009B191D" w:rsidRDefault="009B191D" w:rsidP="009B191D">
      <w:r w:rsidRPr="009B191D">
        <mc:AlternateContent>
          <mc:Choice Requires="wpg">
            <w:drawing>
              <wp:inline distT="0" distB="0" distL="0" distR="0" wp14:anchorId="0AFD478D" wp14:editId="61B752D2">
                <wp:extent cx="5916930" cy="12065"/>
                <wp:effectExtent l="9525" t="9525" r="7620" b="6985"/>
                <wp:docPr id="11909430" name="Group 9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16930" cy="12065"/>
                          <a:chOff x="0" y="0"/>
                          <a:chExt cx="59168" cy="121"/>
                        </a:xfrm>
                      </wpg:grpSpPr>
                      <wps:wsp>
                        <wps:cNvPr id="1924940620" name="Shape 328393"/>
                        <wps:cNvSpPr>
                          <a:spLocks/>
                        </wps:cNvSpPr>
                        <wps:spPr bwMode="auto">
                          <a:xfrm>
                            <a:off x="0" y="0"/>
                            <a:ext cx="59168" cy="121"/>
                          </a:xfrm>
                          <a:custGeom>
                            <a:avLst/>
                            <a:gdLst>
                              <a:gd name="T0" fmla="*/ 0 w 5916893"/>
                              <a:gd name="T1" fmla="*/ 6096 h 12193"/>
                              <a:gd name="T2" fmla="*/ 5916893 w 5916893"/>
                              <a:gd name="T3" fmla="*/ 6096 h 12193"/>
                              <a:gd name="T4" fmla="*/ 0 w 5916893"/>
                              <a:gd name="T5" fmla="*/ 0 h 12193"/>
                              <a:gd name="T6" fmla="*/ 5916893 w 5916893"/>
                              <a:gd name="T7" fmla="*/ 12193 h 12193"/>
                            </a:gdLst>
                            <a:ahLst/>
                            <a:cxnLst>
                              <a:cxn ang="0">
                                <a:pos x="T0" y="T1"/>
                              </a:cxn>
                              <a:cxn ang="0">
                                <a:pos x="T2" y="T3"/>
                              </a:cxn>
                            </a:cxnLst>
                            <a:rect l="T4" t="T5" r="T6" b="T7"/>
                            <a:pathLst>
                              <a:path w="5916893" h="12193">
                                <a:moveTo>
                                  <a:pt x="0" y="6096"/>
                                </a:moveTo>
                                <a:lnTo>
                                  <a:pt x="5916893" y="6096"/>
                                </a:lnTo>
                              </a:path>
                            </a:pathLst>
                          </a:custGeom>
                          <a:noFill/>
                          <a:ln w="12193">
                            <a:solidFill>
                              <a:srgbClr val="000000"/>
                            </a:solidFill>
                            <a:miter lim="1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49710DC0" id="Group 97" o:spid="_x0000_s1026" style="width:465.9pt;height:.95pt;mso-position-horizontal-relative:char;mso-position-vertical-relative:line" coordsize="59168,1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">
                <v:shape id="Shape 328393" o:spid="_x0000_s1027" style="position:absolute;width:59168;height:121;visibility:visible;mso-wrap-style:square;v-text-anchor:top" coordsize="5916893,121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" path="m,6096r5916893,e" filled="f" strokeweight=".33869mm">
                  <v:stroke miterlimit="1" joinstyle="miter"/>
                  <v:path arrowok="t" o:connecttype="custom" o:connectlocs="0,60;59168,60" o:connectangles="0,0" textboxrect="0,0,5916893,12193"/>
                </v:shape>
                <w10:anchorlock/>
              </v:group>
            </w:pict>
          </mc:Fallback>
        </mc:AlternateContent>
      </w:r>
    </w:p>
    <w:p w14:paraId="0306D0BC" w14:textId="77777777" w:rsidR="009B191D" w:rsidRPr="009B191D" w:rsidRDefault="009B191D" w:rsidP="009B191D">
      <w:r w:rsidRPr="009B191D">
        <w:t>Peters, Ted. 1996. For the Love of Children: Genetic Technology and the Future of the Family, Louisville: Westminster John Knox Press.</w:t>
      </w:r>
    </w:p>
    <w:p w14:paraId="37826B0E" w14:textId="77777777" w:rsidR="009B191D" w:rsidRPr="009B191D" w:rsidRDefault="009B191D" w:rsidP="009B191D">
      <w:r w:rsidRPr="009B191D">
        <w:t xml:space="preserve">President's Commission for the Study of Ethical </w:t>
      </w:r>
      <w:proofErr w:type="gramStart"/>
      <w:r w:rsidRPr="009B191D">
        <w:t>Problems'</w:t>
      </w:r>
      <w:proofErr w:type="gramEnd"/>
      <w:r w:rsidRPr="009B191D">
        <w:t xml:space="preserve"> in Medicine and Biomedical and Behavioral Research. 1982. Splicing Life: The Social and Ethical Issues of Genetic Engineering with Human Beings. Washington, DC: U.S. Government Printing Office.</w:t>
      </w:r>
    </w:p>
    <w:p w14:paraId="2151B8C1" w14:textId="77777777" w:rsidR="009B191D" w:rsidRPr="009B191D" w:rsidRDefault="009B191D" w:rsidP="009B191D">
      <w:r w:rsidRPr="009B191D">
        <w:t>Rawls, John. 1971. A Theory of Justice. Belknap Press, Harvard,</w:t>
      </w:r>
    </w:p>
    <w:p w14:paraId="5729853A" w14:textId="77777777" w:rsidR="009B191D" w:rsidRPr="009B191D" w:rsidRDefault="009B191D" w:rsidP="009B191D">
      <w:r w:rsidRPr="009B191D">
        <w:t xml:space="preserve">Rawls, John. 1999. A Theory </w:t>
      </w:r>
      <w:proofErr w:type="spellStart"/>
      <w:proofErr w:type="gramStart"/>
      <w:r w:rsidRPr="009B191D">
        <w:t>ofJustice</w:t>
      </w:r>
      <w:proofErr w:type="spellEnd"/>
      <w:proofErr w:type="gramEnd"/>
      <w:r w:rsidRPr="009B191D">
        <w:t>. 2</w:t>
      </w:r>
      <w:r w:rsidRPr="009B191D">
        <w:rPr>
          <w:vertAlign w:val="superscript"/>
        </w:rPr>
        <w:t xml:space="preserve">nd </w:t>
      </w:r>
      <w:r w:rsidRPr="009B191D">
        <w:t>edition. Belknap Press, Harvard.</w:t>
      </w:r>
    </w:p>
    <w:p w14:paraId="6EE8D5FD" w14:textId="77777777" w:rsidR="009B191D" w:rsidRPr="009B191D" w:rsidRDefault="009B191D" w:rsidP="009B191D">
      <w:r w:rsidRPr="009B191D">
        <w:t>Ruddick, Sara. 1980. "Maternal Thinking," Feminist Studies, 6:342-367.</w:t>
      </w:r>
    </w:p>
    <w:p w14:paraId="75663588" w14:textId="77777777" w:rsidR="009B191D" w:rsidRPr="009B191D" w:rsidRDefault="009B191D" w:rsidP="009B191D">
      <w:r w:rsidRPr="009B191D">
        <w:t xml:space="preserve">Ruddick, Sara. 1989. Maternal Thinking: Toward </w:t>
      </w:r>
      <w:proofErr w:type="gramStart"/>
      <w:r w:rsidRPr="009B191D">
        <w:t>a Politics</w:t>
      </w:r>
      <w:proofErr w:type="gramEnd"/>
      <w:r w:rsidRPr="009B191D">
        <w:t xml:space="preserve"> of Peace, Boston: Beacon Press.</w:t>
      </w:r>
    </w:p>
    <w:p w14:paraId="6D208E86" w14:textId="77777777" w:rsidR="009B191D" w:rsidRPr="009B191D" w:rsidRDefault="009B191D" w:rsidP="009B191D">
      <w:r w:rsidRPr="009B191D">
        <w:t>Sandel, Michael. 1982. Liberalism and the Limits of Justice. Cambridge University Press.</w:t>
      </w:r>
    </w:p>
    <w:p w14:paraId="1508AF15" w14:textId="77777777" w:rsidR="009B191D" w:rsidRPr="009B191D" w:rsidRDefault="009B191D" w:rsidP="009B191D">
      <w:r w:rsidRPr="009B191D">
        <w:lastRenderedPageBreak/>
        <w:t>Sandel, Michael. 2007. The Case Against Perfection. Belknap Press, Harvard.</w:t>
      </w:r>
    </w:p>
    <w:p w14:paraId="09316A9C" w14:textId="77777777" w:rsidR="009B191D" w:rsidRPr="009B191D" w:rsidRDefault="009B191D" w:rsidP="009B191D">
      <w:r w:rsidRPr="009B191D">
        <w:t>Sartre, John-Paul. 1957. Existentialism and Human Emotions. New York: Philosophical Library.</w:t>
      </w:r>
    </w:p>
    <w:p w14:paraId="47D39C11" w14:textId="77777777" w:rsidR="009B191D" w:rsidRPr="009B191D" w:rsidRDefault="009B191D" w:rsidP="009B191D">
      <w:r w:rsidRPr="009B191D">
        <w:t>Sartre, John-Paul. 1966. Being and Nothingness. "My Death," 680-707. Washington Square Press.</w:t>
      </w:r>
    </w:p>
    <w:p w14:paraId="1C171743" w14:textId="77777777" w:rsidR="009B191D" w:rsidRPr="009B191D" w:rsidRDefault="009B191D" w:rsidP="009B191D">
      <w:r w:rsidRPr="009B191D">
        <w:t>Savulescu, Julian and Nick Bostrom, eds. 2009. Human Enhancement. Oxford University Press.</w:t>
      </w:r>
    </w:p>
    <w:p w14:paraId="3CE42C13" w14:textId="77777777" w:rsidR="009B191D" w:rsidRPr="009B191D" w:rsidRDefault="009B191D" w:rsidP="009B191D">
      <w:r w:rsidRPr="009B191D">
        <w:t>Sommers, Christina Hoff Sommers, 1986, "Filial Morality," The Journal of Philosophy, 83 (8):</w:t>
      </w:r>
    </w:p>
    <w:p w14:paraId="187B9A5D" w14:textId="77777777" w:rsidR="009B191D" w:rsidRPr="009B191D" w:rsidRDefault="009B191D" w:rsidP="009B191D">
      <w:r w:rsidRPr="009B191D">
        <w:t>439-456.</w:t>
      </w:r>
    </w:p>
    <w:p w14:paraId="58DDA3DF" w14:textId="77777777" w:rsidR="009B191D" w:rsidRPr="009B191D" w:rsidRDefault="009B191D" w:rsidP="009B191D">
      <w:r w:rsidRPr="009B191D">
        <w:t>Tong, Rosemarie. 1997. "Feminist Perspectives on Empathy as an Epistemic Skill and Caring as a Moral Virtue," Journal of Medical Humanities, Vol. 18 (3): 153-168.</w:t>
      </w:r>
    </w:p>
    <w:p w14:paraId="49E483CB" w14:textId="77777777" w:rsidR="009B191D" w:rsidRPr="009B191D" w:rsidRDefault="009B191D" w:rsidP="009B191D">
      <w:r w:rsidRPr="009B191D">
        <w:t xml:space="preserve">Tong, Rosemarie. 1998. "The Ethics </w:t>
      </w:r>
      <w:proofErr w:type="gramStart"/>
      <w:r w:rsidRPr="009B191D">
        <w:t>Of</w:t>
      </w:r>
      <w:proofErr w:type="gramEnd"/>
      <w:r w:rsidRPr="009B191D">
        <w:t xml:space="preserve"> Care: A Feminist Virtue Ethics of Care for Healthcare Practitioners," Journal of Medicine and Philosophy, Vol. 23: (2) 131-152.</w:t>
      </w:r>
    </w:p>
    <w:p w14:paraId="5EA0DE28" w14:textId="77777777" w:rsidR="009B191D" w:rsidRPr="009B191D" w:rsidRDefault="009B191D" w:rsidP="009B191D">
      <w:r w:rsidRPr="009B191D">
        <w:t>UNESCO. 1997. Universal Declaration on the Human Genome and Human Rights.</w:t>
      </w:r>
    </w:p>
    <w:p w14:paraId="5C779572" w14:textId="5895C251" w:rsidR="009B191D" w:rsidRPr="009B191D" w:rsidRDefault="009B191D" w:rsidP="009B191D">
      <w:r w:rsidRPr="009B191D">
        <mc:AlternateContent>
          <mc:Choice Requires="wpg">
            <w:drawing>
              <wp:inline distT="0" distB="0" distL="0" distR="0" wp14:anchorId="31AEB0EF" wp14:editId="68EC9ED2">
                <wp:extent cx="5947410" cy="18415"/>
                <wp:effectExtent l="9525" t="0" r="15240" b="635"/>
                <wp:docPr id="1452242027" name="Group 9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47410" cy="18415"/>
                          <a:chOff x="0" y="0"/>
                          <a:chExt cx="59473" cy="182"/>
                        </a:xfrm>
                      </wpg:grpSpPr>
                      <wps:wsp>
                        <wps:cNvPr id="1461432731" name="Shape 328395"/>
                        <wps:cNvSpPr>
                          <a:spLocks/>
                        </wps:cNvSpPr>
                        <wps:spPr bwMode="auto">
                          <a:xfrm>
                            <a:off x="0" y="0"/>
                            <a:ext cx="59473" cy="182"/>
                          </a:xfrm>
                          <a:custGeom>
                            <a:avLst/>
                            <a:gdLst>
                              <a:gd name="T0" fmla="*/ 0 w 5947362"/>
                              <a:gd name="T1" fmla="*/ 9145 h 18289"/>
                              <a:gd name="T2" fmla="*/ 5947362 w 5947362"/>
                              <a:gd name="T3" fmla="*/ 9145 h 18289"/>
                              <a:gd name="T4" fmla="*/ 0 w 5947362"/>
                              <a:gd name="T5" fmla="*/ 0 h 18289"/>
                              <a:gd name="T6" fmla="*/ 5947362 w 5947362"/>
                              <a:gd name="T7" fmla="*/ 18289 h 18289"/>
                            </a:gdLst>
                            <a:ahLst/>
                            <a:cxnLst>
                              <a:cxn ang="0">
                                <a:pos x="T0" y="T1"/>
                              </a:cxn>
                              <a:cxn ang="0">
                                <a:pos x="T2" y="T3"/>
                              </a:cxn>
                            </a:cxnLst>
                            <a:rect l="T4" t="T5" r="T6" b="T7"/>
                            <a:pathLst>
                              <a:path w="5947362" h="18289">
                                <a:moveTo>
                                  <a:pt x="0" y="9145"/>
                                </a:moveTo>
                                <a:lnTo>
                                  <a:pt x="5947362" y="9145"/>
                                </a:lnTo>
                              </a:path>
                            </a:pathLst>
                          </a:custGeom>
                          <a:noFill/>
                          <a:ln w="18289">
                            <a:solidFill>
                              <a:srgbClr val="000000"/>
                            </a:solidFill>
                            <a:miter lim="1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0705A724" id="Group 96" o:spid="_x0000_s1026" style="width:468.3pt;height:1.45pt;mso-position-horizontal-relative:char;mso-position-vertical-relative:line" coordsize="59473,1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">
                <v:shape id="Shape 328395" o:spid="_x0000_s1027" style="position:absolute;width:59473;height:182;visibility:visible;mso-wrap-style:square;v-text-anchor:top" coordsize="5947362,182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" path="m,9145r5947362,e" filled="f" strokeweight=".50803mm">
                  <v:stroke miterlimit="1" joinstyle="miter"/>
                  <v:path arrowok="t" o:connecttype="custom" o:connectlocs="0,91;59473,91" o:connectangles="0,0" textboxrect="0,0,5947362,18289"/>
                </v:shape>
                <w10:anchorlock/>
              </v:group>
            </w:pict>
          </mc:Fallback>
        </mc:AlternateContent>
      </w:r>
    </w:p>
    <w:p w14:paraId="72AD2C59" w14:textId="77777777" w:rsidR="009B191D" w:rsidRPr="009B191D" w:rsidRDefault="009B191D" w:rsidP="009B191D">
      <w:r w:rsidRPr="009B191D">
        <w:t>Walters, LeRoy, and Julie Palmer. 1997. The Ethics of Human Gene Therapy. New York: Oxford University Press.</w:t>
      </w:r>
    </w:p>
    <w:p w14:paraId="788B4EC9" w14:textId="77777777" w:rsidR="009B191D" w:rsidRPr="009B191D" w:rsidRDefault="009B191D" w:rsidP="009B191D">
      <w:proofErr w:type="spellStart"/>
      <w:r w:rsidRPr="009B191D">
        <w:t>Zoloth</w:t>
      </w:r>
      <w:proofErr w:type="spellEnd"/>
      <w:r w:rsidRPr="009B191D">
        <w:t>, Laurie. 2003. "Uncountable as the Stars: Inheritable Genetic Intervention and the Human Future— A Jewish Perspective," Chapter 14 in Chapman and Frankel, 2003, pages 212-237.</w:t>
      </w:r>
    </w:p>
    <w:p w14:paraId="07E94563" w14:textId="63681E88" w:rsidR="00420F3B" w:rsidRDefault="00420F3B"/>
    <w:sectPr w:rsidR="00420F3B">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88F93A4" w14:textId="77777777" w:rsidR="00142BE3" w:rsidRDefault="00142BE3" w:rsidP="00786A22">
      <w:pPr>
        <w:spacing w:after="0" w:line="240" w:lineRule="auto"/>
      </w:pPr>
      <w:r>
        <w:separator/>
      </w:r>
    </w:p>
  </w:endnote>
  <w:endnote w:type="continuationSeparator" w:id="0">
    <w:p w14:paraId="77D7C490" w14:textId="77777777" w:rsidR="00142BE3" w:rsidRDefault="00142BE3" w:rsidP="00786A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ourier New">
    <w:panose1 w:val="02070309020205020404"/>
    <w:charset w:val="00"/>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1443E58" w14:textId="77777777" w:rsidR="00142BE3" w:rsidRDefault="00142BE3" w:rsidP="00786A22">
      <w:pPr>
        <w:spacing w:after="0" w:line="240" w:lineRule="auto"/>
      </w:pPr>
      <w:r>
        <w:separator/>
      </w:r>
    </w:p>
  </w:footnote>
  <w:footnote w:type="continuationSeparator" w:id="0">
    <w:p w14:paraId="427D1371" w14:textId="77777777" w:rsidR="00142BE3" w:rsidRDefault="00142BE3" w:rsidP="00786A2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83" type="#_x0000_t75" style="width:7.5pt;height:8.5pt" o:bullet="t">
        <v:imagedata r:id="rId1" o:title="clip_image001"/>
      </v:shape>
    </w:pict>
  </w:numPicBullet>
  <w:abstractNum w:abstractNumId="0" w15:restartNumberingAfterBreak="0">
    <w:nsid w:val="097151EF"/>
    <w:multiLevelType w:val="hybridMultilevel"/>
    <w:tmpl w:val="036EFD22"/>
    <w:lvl w:ilvl="0" w:tplc="86E21414">
      <w:start w:val="1"/>
      <w:numFmt w:val="decimal"/>
      <w:lvlText w:val="%1"/>
      <w:lvlJc w:val="left"/>
      <w:pPr>
        <w:ind w:left="279" w:firstLine="0"/>
      </w:pPr>
      <w:rPr>
        <w:rFonts w:ascii="Courier New" w:eastAsia="Courier New" w:hAnsi="Courier New" w:cs="Courier New"/>
        <w:b w:val="0"/>
        <w:i w:val="0"/>
        <w:strike w:val="0"/>
        <w:dstrike w:val="0"/>
        <w:color w:val="000000"/>
        <w:sz w:val="26"/>
        <w:szCs w:val="26"/>
        <w:u w:val="none" w:color="000000"/>
        <w:effect w:val="none"/>
        <w:bdr w:val="none" w:sz="0" w:space="0" w:color="auto" w:frame="1"/>
        <w:vertAlign w:val="baseline"/>
      </w:rPr>
    </w:lvl>
    <w:lvl w:ilvl="1" w:tplc="8FC03612">
      <w:start w:val="1"/>
      <w:numFmt w:val="lowerLetter"/>
      <w:lvlText w:val="%2"/>
      <w:lvlJc w:val="left"/>
      <w:pPr>
        <w:ind w:left="1233" w:firstLine="0"/>
      </w:pPr>
      <w:rPr>
        <w:rFonts w:ascii="Courier New" w:eastAsia="Courier New" w:hAnsi="Courier New" w:cs="Courier New"/>
        <w:b w:val="0"/>
        <w:i w:val="0"/>
        <w:strike w:val="0"/>
        <w:dstrike w:val="0"/>
        <w:color w:val="000000"/>
        <w:sz w:val="26"/>
        <w:szCs w:val="26"/>
        <w:u w:val="none" w:color="000000"/>
        <w:effect w:val="none"/>
        <w:bdr w:val="none" w:sz="0" w:space="0" w:color="auto" w:frame="1"/>
        <w:vertAlign w:val="baseline"/>
      </w:rPr>
    </w:lvl>
    <w:lvl w:ilvl="2" w:tplc="CC62447E">
      <w:start w:val="1"/>
      <w:numFmt w:val="lowerRoman"/>
      <w:lvlText w:val="%3"/>
      <w:lvlJc w:val="left"/>
      <w:pPr>
        <w:ind w:left="1953" w:firstLine="0"/>
      </w:pPr>
      <w:rPr>
        <w:rFonts w:ascii="Courier New" w:eastAsia="Courier New" w:hAnsi="Courier New" w:cs="Courier New"/>
        <w:b w:val="0"/>
        <w:i w:val="0"/>
        <w:strike w:val="0"/>
        <w:dstrike w:val="0"/>
        <w:color w:val="000000"/>
        <w:sz w:val="26"/>
        <w:szCs w:val="26"/>
        <w:u w:val="none" w:color="000000"/>
        <w:effect w:val="none"/>
        <w:bdr w:val="none" w:sz="0" w:space="0" w:color="auto" w:frame="1"/>
        <w:vertAlign w:val="baseline"/>
      </w:rPr>
    </w:lvl>
    <w:lvl w:ilvl="3" w:tplc="075816BE">
      <w:start w:val="1"/>
      <w:numFmt w:val="decimal"/>
      <w:lvlText w:val="%4"/>
      <w:lvlJc w:val="left"/>
      <w:pPr>
        <w:ind w:left="2673" w:firstLine="0"/>
      </w:pPr>
      <w:rPr>
        <w:rFonts w:ascii="Courier New" w:eastAsia="Courier New" w:hAnsi="Courier New" w:cs="Courier New"/>
        <w:b w:val="0"/>
        <w:i w:val="0"/>
        <w:strike w:val="0"/>
        <w:dstrike w:val="0"/>
        <w:color w:val="000000"/>
        <w:sz w:val="26"/>
        <w:szCs w:val="26"/>
        <w:u w:val="none" w:color="000000"/>
        <w:effect w:val="none"/>
        <w:bdr w:val="none" w:sz="0" w:space="0" w:color="auto" w:frame="1"/>
        <w:vertAlign w:val="baseline"/>
      </w:rPr>
    </w:lvl>
    <w:lvl w:ilvl="4" w:tplc="EF66E1CE">
      <w:start w:val="1"/>
      <w:numFmt w:val="lowerLetter"/>
      <w:lvlText w:val="%5"/>
      <w:lvlJc w:val="left"/>
      <w:pPr>
        <w:ind w:left="3393" w:firstLine="0"/>
      </w:pPr>
      <w:rPr>
        <w:rFonts w:ascii="Courier New" w:eastAsia="Courier New" w:hAnsi="Courier New" w:cs="Courier New"/>
        <w:b w:val="0"/>
        <w:i w:val="0"/>
        <w:strike w:val="0"/>
        <w:dstrike w:val="0"/>
        <w:color w:val="000000"/>
        <w:sz w:val="26"/>
        <w:szCs w:val="26"/>
        <w:u w:val="none" w:color="000000"/>
        <w:effect w:val="none"/>
        <w:bdr w:val="none" w:sz="0" w:space="0" w:color="auto" w:frame="1"/>
        <w:vertAlign w:val="baseline"/>
      </w:rPr>
    </w:lvl>
    <w:lvl w:ilvl="5" w:tplc="16120984">
      <w:start w:val="1"/>
      <w:numFmt w:val="lowerRoman"/>
      <w:lvlText w:val="%6"/>
      <w:lvlJc w:val="left"/>
      <w:pPr>
        <w:ind w:left="4113" w:firstLine="0"/>
      </w:pPr>
      <w:rPr>
        <w:rFonts w:ascii="Courier New" w:eastAsia="Courier New" w:hAnsi="Courier New" w:cs="Courier New"/>
        <w:b w:val="0"/>
        <w:i w:val="0"/>
        <w:strike w:val="0"/>
        <w:dstrike w:val="0"/>
        <w:color w:val="000000"/>
        <w:sz w:val="26"/>
        <w:szCs w:val="26"/>
        <w:u w:val="none" w:color="000000"/>
        <w:effect w:val="none"/>
        <w:bdr w:val="none" w:sz="0" w:space="0" w:color="auto" w:frame="1"/>
        <w:vertAlign w:val="baseline"/>
      </w:rPr>
    </w:lvl>
    <w:lvl w:ilvl="6" w:tplc="505C46CA">
      <w:start w:val="1"/>
      <w:numFmt w:val="decimal"/>
      <w:lvlText w:val="%7"/>
      <w:lvlJc w:val="left"/>
      <w:pPr>
        <w:ind w:left="4833" w:firstLine="0"/>
      </w:pPr>
      <w:rPr>
        <w:rFonts w:ascii="Courier New" w:eastAsia="Courier New" w:hAnsi="Courier New" w:cs="Courier New"/>
        <w:b w:val="0"/>
        <w:i w:val="0"/>
        <w:strike w:val="0"/>
        <w:dstrike w:val="0"/>
        <w:color w:val="000000"/>
        <w:sz w:val="26"/>
        <w:szCs w:val="26"/>
        <w:u w:val="none" w:color="000000"/>
        <w:effect w:val="none"/>
        <w:bdr w:val="none" w:sz="0" w:space="0" w:color="auto" w:frame="1"/>
        <w:vertAlign w:val="baseline"/>
      </w:rPr>
    </w:lvl>
    <w:lvl w:ilvl="7" w:tplc="2C947F86">
      <w:start w:val="1"/>
      <w:numFmt w:val="lowerLetter"/>
      <w:lvlText w:val="%8"/>
      <w:lvlJc w:val="left"/>
      <w:pPr>
        <w:ind w:left="5553" w:firstLine="0"/>
      </w:pPr>
      <w:rPr>
        <w:rFonts w:ascii="Courier New" w:eastAsia="Courier New" w:hAnsi="Courier New" w:cs="Courier New"/>
        <w:b w:val="0"/>
        <w:i w:val="0"/>
        <w:strike w:val="0"/>
        <w:dstrike w:val="0"/>
        <w:color w:val="000000"/>
        <w:sz w:val="26"/>
        <w:szCs w:val="26"/>
        <w:u w:val="none" w:color="000000"/>
        <w:effect w:val="none"/>
        <w:bdr w:val="none" w:sz="0" w:space="0" w:color="auto" w:frame="1"/>
        <w:vertAlign w:val="baseline"/>
      </w:rPr>
    </w:lvl>
    <w:lvl w:ilvl="8" w:tplc="A1C81BC4">
      <w:start w:val="1"/>
      <w:numFmt w:val="lowerRoman"/>
      <w:lvlText w:val="%9"/>
      <w:lvlJc w:val="left"/>
      <w:pPr>
        <w:ind w:left="6273" w:firstLine="0"/>
      </w:pPr>
      <w:rPr>
        <w:rFonts w:ascii="Courier New" w:eastAsia="Courier New" w:hAnsi="Courier New" w:cs="Courier New"/>
        <w:b w:val="0"/>
        <w:i w:val="0"/>
        <w:strike w:val="0"/>
        <w:dstrike w:val="0"/>
        <w:color w:val="000000"/>
        <w:sz w:val="26"/>
        <w:szCs w:val="26"/>
        <w:u w:val="none" w:color="000000"/>
        <w:effect w:val="none"/>
        <w:bdr w:val="none" w:sz="0" w:space="0" w:color="auto" w:frame="1"/>
        <w:vertAlign w:val="baseline"/>
      </w:rPr>
    </w:lvl>
  </w:abstractNum>
  <w:abstractNum w:abstractNumId="1" w15:restartNumberingAfterBreak="0">
    <w:nsid w:val="15452DD1"/>
    <w:multiLevelType w:val="hybridMultilevel"/>
    <w:tmpl w:val="D7A6B646"/>
    <w:lvl w:ilvl="0" w:tplc="246805F8">
      <w:start w:val="4"/>
      <w:numFmt w:val="decimal"/>
      <w:lvlText w:val="%1"/>
      <w:lvlJc w:val="left"/>
      <w:pPr>
        <w:ind w:left="409" w:firstLine="0"/>
      </w:pPr>
      <w:rPr>
        <w:rFonts w:ascii="Courier New" w:eastAsia="Courier New" w:hAnsi="Courier New" w:cs="Courier New"/>
        <w:b w:val="0"/>
        <w:i w:val="0"/>
        <w:strike w:val="0"/>
        <w:dstrike w:val="0"/>
        <w:color w:val="000000"/>
        <w:sz w:val="18"/>
        <w:szCs w:val="18"/>
        <w:u w:val="none" w:color="000000"/>
        <w:effect w:val="none"/>
        <w:bdr w:val="none" w:sz="0" w:space="0" w:color="auto" w:frame="1"/>
        <w:vertAlign w:val="baseline"/>
      </w:rPr>
    </w:lvl>
    <w:lvl w:ilvl="1" w:tplc="62E205E2">
      <w:start w:val="1"/>
      <w:numFmt w:val="lowerLetter"/>
      <w:lvlText w:val="%2"/>
      <w:lvlJc w:val="left"/>
      <w:pPr>
        <w:ind w:left="1090" w:firstLine="0"/>
      </w:pPr>
      <w:rPr>
        <w:rFonts w:ascii="Courier New" w:eastAsia="Courier New" w:hAnsi="Courier New" w:cs="Courier New"/>
        <w:b w:val="0"/>
        <w:i w:val="0"/>
        <w:strike w:val="0"/>
        <w:dstrike w:val="0"/>
        <w:color w:val="000000"/>
        <w:sz w:val="18"/>
        <w:szCs w:val="18"/>
        <w:u w:val="none" w:color="000000"/>
        <w:effect w:val="none"/>
        <w:bdr w:val="none" w:sz="0" w:space="0" w:color="auto" w:frame="1"/>
        <w:vertAlign w:val="baseline"/>
      </w:rPr>
    </w:lvl>
    <w:lvl w:ilvl="2" w:tplc="FCFE67BE">
      <w:start w:val="1"/>
      <w:numFmt w:val="lowerRoman"/>
      <w:lvlText w:val="%3"/>
      <w:lvlJc w:val="left"/>
      <w:pPr>
        <w:ind w:left="1810" w:firstLine="0"/>
      </w:pPr>
      <w:rPr>
        <w:rFonts w:ascii="Courier New" w:eastAsia="Courier New" w:hAnsi="Courier New" w:cs="Courier New"/>
        <w:b w:val="0"/>
        <w:i w:val="0"/>
        <w:strike w:val="0"/>
        <w:dstrike w:val="0"/>
        <w:color w:val="000000"/>
        <w:sz w:val="18"/>
        <w:szCs w:val="18"/>
        <w:u w:val="none" w:color="000000"/>
        <w:effect w:val="none"/>
        <w:bdr w:val="none" w:sz="0" w:space="0" w:color="auto" w:frame="1"/>
        <w:vertAlign w:val="baseline"/>
      </w:rPr>
    </w:lvl>
    <w:lvl w:ilvl="3" w:tplc="64B047B4">
      <w:start w:val="1"/>
      <w:numFmt w:val="decimal"/>
      <w:lvlText w:val="%4"/>
      <w:lvlJc w:val="left"/>
      <w:pPr>
        <w:ind w:left="2530" w:firstLine="0"/>
      </w:pPr>
      <w:rPr>
        <w:rFonts w:ascii="Courier New" w:eastAsia="Courier New" w:hAnsi="Courier New" w:cs="Courier New"/>
        <w:b w:val="0"/>
        <w:i w:val="0"/>
        <w:strike w:val="0"/>
        <w:dstrike w:val="0"/>
        <w:color w:val="000000"/>
        <w:sz w:val="18"/>
        <w:szCs w:val="18"/>
        <w:u w:val="none" w:color="000000"/>
        <w:effect w:val="none"/>
        <w:bdr w:val="none" w:sz="0" w:space="0" w:color="auto" w:frame="1"/>
        <w:vertAlign w:val="baseline"/>
      </w:rPr>
    </w:lvl>
    <w:lvl w:ilvl="4" w:tplc="15D85562">
      <w:start w:val="1"/>
      <w:numFmt w:val="lowerLetter"/>
      <w:lvlText w:val="%5"/>
      <w:lvlJc w:val="left"/>
      <w:pPr>
        <w:ind w:left="3250" w:firstLine="0"/>
      </w:pPr>
      <w:rPr>
        <w:rFonts w:ascii="Courier New" w:eastAsia="Courier New" w:hAnsi="Courier New" w:cs="Courier New"/>
        <w:b w:val="0"/>
        <w:i w:val="0"/>
        <w:strike w:val="0"/>
        <w:dstrike w:val="0"/>
        <w:color w:val="000000"/>
        <w:sz w:val="18"/>
        <w:szCs w:val="18"/>
        <w:u w:val="none" w:color="000000"/>
        <w:effect w:val="none"/>
        <w:bdr w:val="none" w:sz="0" w:space="0" w:color="auto" w:frame="1"/>
        <w:vertAlign w:val="baseline"/>
      </w:rPr>
    </w:lvl>
    <w:lvl w:ilvl="5" w:tplc="FB72DE1E">
      <w:start w:val="1"/>
      <w:numFmt w:val="lowerRoman"/>
      <w:lvlText w:val="%6"/>
      <w:lvlJc w:val="left"/>
      <w:pPr>
        <w:ind w:left="3970" w:firstLine="0"/>
      </w:pPr>
      <w:rPr>
        <w:rFonts w:ascii="Courier New" w:eastAsia="Courier New" w:hAnsi="Courier New" w:cs="Courier New"/>
        <w:b w:val="0"/>
        <w:i w:val="0"/>
        <w:strike w:val="0"/>
        <w:dstrike w:val="0"/>
        <w:color w:val="000000"/>
        <w:sz w:val="18"/>
        <w:szCs w:val="18"/>
        <w:u w:val="none" w:color="000000"/>
        <w:effect w:val="none"/>
        <w:bdr w:val="none" w:sz="0" w:space="0" w:color="auto" w:frame="1"/>
        <w:vertAlign w:val="baseline"/>
      </w:rPr>
    </w:lvl>
    <w:lvl w:ilvl="6" w:tplc="C888A3F8">
      <w:start w:val="1"/>
      <w:numFmt w:val="decimal"/>
      <w:lvlText w:val="%7"/>
      <w:lvlJc w:val="left"/>
      <w:pPr>
        <w:ind w:left="4690" w:firstLine="0"/>
      </w:pPr>
      <w:rPr>
        <w:rFonts w:ascii="Courier New" w:eastAsia="Courier New" w:hAnsi="Courier New" w:cs="Courier New"/>
        <w:b w:val="0"/>
        <w:i w:val="0"/>
        <w:strike w:val="0"/>
        <w:dstrike w:val="0"/>
        <w:color w:val="000000"/>
        <w:sz w:val="18"/>
        <w:szCs w:val="18"/>
        <w:u w:val="none" w:color="000000"/>
        <w:effect w:val="none"/>
        <w:bdr w:val="none" w:sz="0" w:space="0" w:color="auto" w:frame="1"/>
        <w:vertAlign w:val="baseline"/>
      </w:rPr>
    </w:lvl>
    <w:lvl w:ilvl="7" w:tplc="DC261FB2">
      <w:start w:val="1"/>
      <w:numFmt w:val="lowerLetter"/>
      <w:lvlText w:val="%8"/>
      <w:lvlJc w:val="left"/>
      <w:pPr>
        <w:ind w:left="5410" w:firstLine="0"/>
      </w:pPr>
      <w:rPr>
        <w:rFonts w:ascii="Courier New" w:eastAsia="Courier New" w:hAnsi="Courier New" w:cs="Courier New"/>
        <w:b w:val="0"/>
        <w:i w:val="0"/>
        <w:strike w:val="0"/>
        <w:dstrike w:val="0"/>
        <w:color w:val="000000"/>
        <w:sz w:val="18"/>
        <w:szCs w:val="18"/>
        <w:u w:val="none" w:color="000000"/>
        <w:effect w:val="none"/>
        <w:bdr w:val="none" w:sz="0" w:space="0" w:color="auto" w:frame="1"/>
        <w:vertAlign w:val="baseline"/>
      </w:rPr>
    </w:lvl>
    <w:lvl w:ilvl="8" w:tplc="44524A8A">
      <w:start w:val="1"/>
      <w:numFmt w:val="lowerRoman"/>
      <w:lvlText w:val="%9"/>
      <w:lvlJc w:val="left"/>
      <w:pPr>
        <w:ind w:left="6130" w:firstLine="0"/>
      </w:pPr>
      <w:rPr>
        <w:rFonts w:ascii="Courier New" w:eastAsia="Courier New" w:hAnsi="Courier New" w:cs="Courier New"/>
        <w:b w:val="0"/>
        <w:i w:val="0"/>
        <w:strike w:val="0"/>
        <w:dstrike w:val="0"/>
        <w:color w:val="000000"/>
        <w:sz w:val="18"/>
        <w:szCs w:val="18"/>
        <w:u w:val="none" w:color="000000"/>
        <w:effect w:val="none"/>
        <w:bdr w:val="none" w:sz="0" w:space="0" w:color="auto" w:frame="1"/>
        <w:vertAlign w:val="baseline"/>
      </w:rPr>
    </w:lvl>
  </w:abstractNum>
  <w:abstractNum w:abstractNumId="2" w15:restartNumberingAfterBreak="0">
    <w:nsid w:val="4B1E0FBC"/>
    <w:multiLevelType w:val="hybridMultilevel"/>
    <w:tmpl w:val="BD6C52CE"/>
    <w:lvl w:ilvl="0" w:tplc="FE2C63A8">
      <w:start w:val="1"/>
      <w:numFmt w:val="bullet"/>
      <w:lvlText w:val="•"/>
      <w:lvlPicBulletId w:val="0"/>
      <w:lvlJc w:val="left"/>
      <w:pPr>
        <w:ind w:left="868" w:firstLine="0"/>
      </w:pPr>
      <w:rPr>
        <w:rFonts w:ascii="Courier New" w:eastAsia="Courier New" w:hAnsi="Courier New" w:cs="Courier New"/>
        <w:b w:val="0"/>
        <w:i w:val="0"/>
        <w:strike w:val="0"/>
        <w:dstrike w:val="0"/>
        <w:color w:val="000000"/>
        <w:sz w:val="24"/>
        <w:szCs w:val="24"/>
        <w:u w:val="none" w:color="000000"/>
        <w:effect w:val="none"/>
        <w:bdr w:val="none" w:sz="0" w:space="0" w:color="auto" w:frame="1"/>
        <w:vertAlign w:val="baseline"/>
      </w:rPr>
    </w:lvl>
    <w:lvl w:ilvl="1" w:tplc="8D6CD3CE">
      <w:start w:val="1"/>
      <w:numFmt w:val="bullet"/>
      <w:lvlText w:val="o"/>
      <w:lvlJc w:val="left"/>
      <w:pPr>
        <w:ind w:left="1828" w:firstLine="0"/>
      </w:pPr>
      <w:rPr>
        <w:rFonts w:ascii="Courier New" w:eastAsia="Courier New" w:hAnsi="Courier New" w:cs="Courier New"/>
        <w:b w:val="0"/>
        <w:i w:val="0"/>
        <w:strike w:val="0"/>
        <w:dstrike w:val="0"/>
        <w:color w:val="000000"/>
        <w:sz w:val="24"/>
        <w:szCs w:val="24"/>
        <w:u w:val="none" w:color="000000"/>
        <w:effect w:val="none"/>
        <w:bdr w:val="none" w:sz="0" w:space="0" w:color="auto" w:frame="1"/>
        <w:vertAlign w:val="baseline"/>
      </w:rPr>
    </w:lvl>
    <w:lvl w:ilvl="2" w:tplc="1BE44C1C">
      <w:start w:val="1"/>
      <w:numFmt w:val="bullet"/>
      <w:lvlText w:val="▪"/>
      <w:lvlJc w:val="left"/>
      <w:pPr>
        <w:ind w:left="2548" w:firstLine="0"/>
      </w:pPr>
      <w:rPr>
        <w:rFonts w:ascii="Courier New" w:eastAsia="Courier New" w:hAnsi="Courier New" w:cs="Courier New"/>
        <w:b w:val="0"/>
        <w:i w:val="0"/>
        <w:strike w:val="0"/>
        <w:dstrike w:val="0"/>
        <w:color w:val="000000"/>
        <w:sz w:val="24"/>
        <w:szCs w:val="24"/>
        <w:u w:val="none" w:color="000000"/>
        <w:effect w:val="none"/>
        <w:bdr w:val="none" w:sz="0" w:space="0" w:color="auto" w:frame="1"/>
        <w:vertAlign w:val="baseline"/>
      </w:rPr>
    </w:lvl>
    <w:lvl w:ilvl="3" w:tplc="552A88F2">
      <w:start w:val="1"/>
      <w:numFmt w:val="bullet"/>
      <w:lvlText w:val="•"/>
      <w:lvlJc w:val="left"/>
      <w:pPr>
        <w:ind w:left="3268" w:firstLine="0"/>
      </w:pPr>
      <w:rPr>
        <w:rFonts w:ascii="Courier New" w:eastAsia="Courier New" w:hAnsi="Courier New" w:cs="Courier New"/>
        <w:b w:val="0"/>
        <w:i w:val="0"/>
        <w:strike w:val="0"/>
        <w:dstrike w:val="0"/>
        <w:color w:val="000000"/>
        <w:sz w:val="24"/>
        <w:szCs w:val="24"/>
        <w:u w:val="none" w:color="000000"/>
        <w:effect w:val="none"/>
        <w:bdr w:val="none" w:sz="0" w:space="0" w:color="auto" w:frame="1"/>
        <w:vertAlign w:val="baseline"/>
      </w:rPr>
    </w:lvl>
    <w:lvl w:ilvl="4" w:tplc="44EC86E4">
      <w:start w:val="1"/>
      <w:numFmt w:val="bullet"/>
      <w:lvlText w:val="o"/>
      <w:lvlJc w:val="left"/>
      <w:pPr>
        <w:ind w:left="3988" w:firstLine="0"/>
      </w:pPr>
      <w:rPr>
        <w:rFonts w:ascii="Courier New" w:eastAsia="Courier New" w:hAnsi="Courier New" w:cs="Courier New"/>
        <w:b w:val="0"/>
        <w:i w:val="0"/>
        <w:strike w:val="0"/>
        <w:dstrike w:val="0"/>
        <w:color w:val="000000"/>
        <w:sz w:val="24"/>
        <w:szCs w:val="24"/>
        <w:u w:val="none" w:color="000000"/>
        <w:effect w:val="none"/>
        <w:bdr w:val="none" w:sz="0" w:space="0" w:color="auto" w:frame="1"/>
        <w:vertAlign w:val="baseline"/>
      </w:rPr>
    </w:lvl>
    <w:lvl w:ilvl="5" w:tplc="76029386">
      <w:start w:val="1"/>
      <w:numFmt w:val="bullet"/>
      <w:lvlText w:val="▪"/>
      <w:lvlJc w:val="left"/>
      <w:pPr>
        <w:ind w:left="4708" w:firstLine="0"/>
      </w:pPr>
      <w:rPr>
        <w:rFonts w:ascii="Courier New" w:eastAsia="Courier New" w:hAnsi="Courier New" w:cs="Courier New"/>
        <w:b w:val="0"/>
        <w:i w:val="0"/>
        <w:strike w:val="0"/>
        <w:dstrike w:val="0"/>
        <w:color w:val="000000"/>
        <w:sz w:val="24"/>
        <w:szCs w:val="24"/>
        <w:u w:val="none" w:color="000000"/>
        <w:effect w:val="none"/>
        <w:bdr w:val="none" w:sz="0" w:space="0" w:color="auto" w:frame="1"/>
        <w:vertAlign w:val="baseline"/>
      </w:rPr>
    </w:lvl>
    <w:lvl w:ilvl="6" w:tplc="E6BAF53A">
      <w:start w:val="1"/>
      <w:numFmt w:val="bullet"/>
      <w:lvlText w:val="•"/>
      <w:lvlJc w:val="left"/>
      <w:pPr>
        <w:ind w:left="5428" w:firstLine="0"/>
      </w:pPr>
      <w:rPr>
        <w:rFonts w:ascii="Courier New" w:eastAsia="Courier New" w:hAnsi="Courier New" w:cs="Courier New"/>
        <w:b w:val="0"/>
        <w:i w:val="0"/>
        <w:strike w:val="0"/>
        <w:dstrike w:val="0"/>
        <w:color w:val="000000"/>
        <w:sz w:val="24"/>
        <w:szCs w:val="24"/>
        <w:u w:val="none" w:color="000000"/>
        <w:effect w:val="none"/>
        <w:bdr w:val="none" w:sz="0" w:space="0" w:color="auto" w:frame="1"/>
        <w:vertAlign w:val="baseline"/>
      </w:rPr>
    </w:lvl>
    <w:lvl w:ilvl="7" w:tplc="58040572">
      <w:start w:val="1"/>
      <w:numFmt w:val="bullet"/>
      <w:lvlText w:val="o"/>
      <w:lvlJc w:val="left"/>
      <w:pPr>
        <w:ind w:left="6148" w:firstLine="0"/>
      </w:pPr>
      <w:rPr>
        <w:rFonts w:ascii="Courier New" w:eastAsia="Courier New" w:hAnsi="Courier New" w:cs="Courier New"/>
        <w:b w:val="0"/>
        <w:i w:val="0"/>
        <w:strike w:val="0"/>
        <w:dstrike w:val="0"/>
        <w:color w:val="000000"/>
        <w:sz w:val="24"/>
        <w:szCs w:val="24"/>
        <w:u w:val="none" w:color="000000"/>
        <w:effect w:val="none"/>
        <w:bdr w:val="none" w:sz="0" w:space="0" w:color="auto" w:frame="1"/>
        <w:vertAlign w:val="baseline"/>
      </w:rPr>
    </w:lvl>
    <w:lvl w:ilvl="8" w:tplc="390CE840">
      <w:start w:val="1"/>
      <w:numFmt w:val="bullet"/>
      <w:lvlText w:val="▪"/>
      <w:lvlJc w:val="left"/>
      <w:pPr>
        <w:ind w:left="6868" w:firstLine="0"/>
      </w:pPr>
      <w:rPr>
        <w:rFonts w:ascii="Courier New" w:eastAsia="Courier New" w:hAnsi="Courier New" w:cs="Courier New"/>
        <w:b w:val="0"/>
        <w:i w:val="0"/>
        <w:strike w:val="0"/>
        <w:dstrike w:val="0"/>
        <w:color w:val="000000"/>
        <w:sz w:val="24"/>
        <w:szCs w:val="24"/>
        <w:u w:val="none" w:color="000000"/>
        <w:effect w:val="none"/>
        <w:bdr w:val="none" w:sz="0" w:space="0" w:color="auto" w:frame="1"/>
        <w:vertAlign w:val="baseline"/>
      </w:rPr>
    </w:lvl>
  </w:abstractNum>
  <w:num w:numId="1" w16cid:durableId="1451631904">
    <w:abstractNumId w:val="2"/>
    <w:lvlOverride w:ilvl="0"/>
    <w:lvlOverride w:ilvl="1"/>
    <w:lvlOverride w:ilvl="2"/>
    <w:lvlOverride w:ilvl="3"/>
    <w:lvlOverride w:ilvl="4"/>
    <w:lvlOverride w:ilvl="5"/>
    <w:lvlOverride w:ilvl="6"/>
    <w:lvlOverride w:ilvl="7"/>
    <w:lvlOverride w:ilvl="8"/>
  </w:num>
  <w:num w:numId="2" w16cid:durableId="167564520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32870848">
    <w:abstractNumId w:val="1"/>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191D"/>
    <w:rsid w:val="00095368"/>
    <w:rsid w:val="000C3AE6"/>
    <w:rsid w:val="00142BE3"/>
    <w:rsid w:val="0015755D"/>
    <w:rsid w:val="002D0BEA"/>
    <w:rsid w:val="002E69DA"/>
    <w:rsid w:val="00392950"/>
    <w:rsid w:val="004077D0"/>
    <w:rsid w:val="00420F3B"/>
    <w:rsid w:val="0047614F"/>
    <w:rsid w:val="00723C0A"/>
    <w:rsid w:val="0077312A"/>
    <w:rsid w:val="00786A22"/>
    <w:rsid w:val="0079170A"/>
    <w:rsid w:val="008B1B4A"/>
    <w:rsid w:val="009626E1"/>
    <w:rsid w:val="009B191D"/>
    <w:rsid w:val="009E2338"/>
    <w:rsid w:val="00A530C6"/>
    <w:rsid w:val="00B04EF8"/>
    <w:rsid w:val="00B612A9"/>
    <w:rsid w:val="00B90D31"/>
    <w:rsid w:val="00C135B5"/>
    <w:rsid w:val="00C442C7"/>
    <w:rsid w:val="00C6391B"/>
    <w:rsid w:val="00D1596C"/>
    <w:rsid w:val="00D20B69"/>
    <w:rsid w:val="00E529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D88961"/>
  <w15:chartTrackingRefBased/>
  <w15:docId w15:val="{0E49C2E7-2BBB-485E-BCEE-FCC5D76DA3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B191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B191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B191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B191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B191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B191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B191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B191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B191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191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B191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B191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B191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B191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B191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B191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B191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B191D"/>
    <w:rPr>
      <w:rFonts w:eastAsiaTheme="majorEastAsia" w:cstheme="majorBidi"/>
      <w:color w:val="272727" w:themeColor="text1" w:themeTint="D8"/>
    </w:rPr>
  </w:style>
  <w:style w:type="paragraph" w:styleId="Title">
    <w:name w:val="Title"/>
    <w:basedOn w:val="Normal"/>
    <w:next w:val="Normal"/>
    <w:link w:val="TitleChar"/>
    <w:uiPriority w:val="10"/>
    <w:qFormat/>
    <w:rsid w:val="009B191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B191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B191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B191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B191D"/>
    <w:pPr>
      <w:spacing w:before="160"/>
      <w:jc w:val="center"/>
    </w:pPr>
    <w:rPr>
      <w:i/>
      <w:iCs/>
      <w:color w:val="404040" w:themeColor="text1" w:themeTint="BF"/>
    </w:rPr>
  </w:style>
  <w:style w:type="character" w:customStyle="1" w:styleId="QuoteChar">
    <w:name w:val="Quote Char"/>
    <w:basedOn w:val="DefaultParagraphFont"/>
    <w:link w:val="Quote"/>
    <w:uiPriority w:val="29"/>
    <w:rsid w:val="009B191D"/>
    <w:rPr>
      <w:i/>
      <w:iCs/>
      <w:color w:val="404040" w:themeColor="text1" w:themeTint="BF"/>
    </w:rPr>
  </w:style>
  <w:style w:type="paragraph" w:styleId="ListParagraph">
    <w:name w:val="List Paragraph"/>
    <w:basedOn w:val="Normal"/>
    <w:uiPriority w:val="34"/>
    <w:qFormat/>
    <w:rsid w:val="009B191D"/>
    <w:pPr>
      <w:ind w:left="720"/>
      <w:contextualSpacing/>
    </w:pPr>
  </w:style>
  <w:style w:type="character" w:styleId="IntenseEmphasis">
    <w:name w:val="Intense Emphasis"/>
    <w:basedOn w:val="DefaultParagraphFont"/>
    <w:uiPriority w:val="21"/>
    <w:qFormat/>
    <w:rsid w:val="009B191D"/>
    <w:rPr>
      <w:i/>
      <w:iCs/>
      <w:color w:val="0F4761" w:themeColor="accent1" w:themeShade="BF"/>
    </w:rPr>
  </w:style>
  <w:style w:type="paragraph" w:styleId="IntenseQuote">
    <w:name w:val="Intense Quote"/>
    <w:basedOn w:val="Normal"/>
    <w:next w:val="Normal"/>
    <w:link w:val="IntenseQuoteChar"/>
    <w:uiPriority w:val="30"/>
    <w:qFormat/>
    <w:rsid w:val="009B191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B191D"/>
    <w:rPr>
      <w:i/>
      <w:iCs/>
      <w:color w:val="0F4761" w:themeColor="accent1" w:themeShade="BF"/>
    </w:rPr>
  </w:style>
  <w:style w:type="character" w:styleId="IntenseReference">
    <w:name w:val="Intense Reference"/>
    <w:basedOn w:val="DefaultParagraphFont"/>
    <w:uiPriority w:val="32"/>
    <w:qFormat/>
    <w:rsid w:val="009B191D"/>
    <w:rPr>
      <w:b/>
      <w:bCs/>
      <w:smallCaps/>
      <w:color w:val="0F4761" w:themeColor="accent1" w:themeShade="BF"/>
      <w:spacing w:val="5"/>
    </w:rPr>
  </w:style>
  <w:style w:type="paragraph" w:styleId="FootnoteText">
    <w:name w:val="footnote text"/>
    <w:basedOn w:val="Normal"/>
    <w:link w:val="FootnoteTextChar"/>
    <w:uiPriority w:val="99"/>
    <w:semiHidden/>
    <w:unhideWhenUsed/>
    <w:rsid w:val="00786A2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786A22"/>
    <w:rPr>
      <w:sz w:val="20"/>
      <w:szCs w:val="20"/>
    </w:rPr>
  </w:style>
  <w:style w:type="character" w:styleId="FootnoteReference">
    <w:name w:val="footnote reference"/>
    <w:basedOn w:val="DefaultParagraphFont"/>
    <w:uiPriority w:val="99"/>
    <w:semiHidden/>
    <w:unhideWhenUsed/>
    <w:rsid w:val="00786A22"/>
    <w:rPr>
      <w:vertAlign w:val="superscript"/>
    </w:rPr>
  </w:style>
  <w:style w:type="paragraph" w:styleId="EndnoteText">
    <w:name w:val="endnote text"/>
    <w:basedOn w:val="Normal"/>
    <w:link w:val="EndnoteTextChar"/>
    <w:uiPriority w:val="99"/>
    <w:semiHidden/>
    <w:unhideWhenUsed/>
    <w:rsid w:val="00786A22"/>
    <w:pPr>
      <w:spacing w:after="0" w:line="240" w:lineRule="auto"/>
    </w:pPr>
    <w:rPr>
      <w:sz w:val="20"/>
      <w:szCs w:val="20"/>
    </w:rPr>
  </w:style>
  <w:style w:type="character" w:customStyle="1" w:styleId="EndnoteTextChar">
    <w:name w:val="Endnote Text Char"/>
    <w:basedOn w:val="DefaultParagraphFont"/>
    <w:link w:val="EndnoteText"/>
    <w:uiPriority w:val="99"/>
    <w:semiHidden/>
    <w:rsid w:val="00786A22"/>
    <w:rPr>
      <w:sz w:val="20"/>
      <w:szCs w:val="20"/>
    </w:rPr>
  </w:style>
  <w:style w:type="character" w:styleId="EndnoteReference">
    <w:name w:val="endnote reference"/>
    <w:basedOn w:val="DefaultParagraphFont"/>
    <w:uiPriority w:val="99"/>
    <w:semiHidden/>
    <w:unhideWhenUsed/>
    <w:rsid w:val="00786A22"/>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68416824">
      <w:bodyDiv w:val="1"/>
      <w:marLeft w:val="0"/>
      <w:marRight w:val="0"/>
      <w:marTop w:val="0"/>
      <w:marBottom w:val="0"/>
      <w:divBdr>
        <w:top w:val="none" w:sz="0" w:space="0" w:color="auto"/>
        <w:left w:val="none" w:sz="0" w:space="0" w:color="auto"/>
        <w:bottom w:val="none" w:sz="0" w:space="0" w:color="auto"/>
        <w:right w:val="none" w:sz="0" w:space="0" w:color="auto"/>
      </w:divBdr>
    </w:div>
    <w:div w:id="6124462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jpeg"/><Relationship Id="rId18" Type="http://schemas.openxmlformats.org/officeDocument/2006/relationships/image" Target="media/image12.jpeg"/><Relationship Id="rId26" Type="http://schemas.openxmlformats.org/officeDocument/2006/relationships/image" Target="media/image20.jpeg"/><Relationship Id="rId21" Type="http://schemas.openxmlformats.org/officeDocument/2006/relationships/image" Target="media/image15.jpeg"/><Relationship Id="rId34" Type="http://schemas.openxmlformats.org/officeDocument/2006/relationships/image" Target="media/image28.jpeg"/><Relationship Id="rId7" Type="http://schemas.openxmlformats.org/officeDocument/2006/relationships/endnotes" Target="endnotes.xml"/><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image" Target="media/image19.jpeg"/><Relationship Id="rId33" Type="http://schemas.openxmlformats.org/officeDocument/2006/relationships/image" Target="media/image27.jpeg"/><Relationship Id="rId2" Type="http://schemas.openxmlformats.org/officeDocument/2006/relationships/numbering" Target="numbering.xml"/><Relationship Id="rId16" Type="http://schemas.openxmlformats.org/officeDocument/2006/relationships/image" Target="media/image10.jpeg"/><Relationship Id="rId20" Type="http://schemas.openxmlformats.org/officeDocument/2006/relationships/image" Target="media/image14.jpeg"/><Relationship Id="rId29" Type="http://schemas.openxmlformats.org/officeDocument/2006/relationships/image" Target="media/image23.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5.jpeg"/><Relationship Id="rId24" Type="http://schemas.openxmlformats.org/officeDocument/2006/relationships/image" Target="media/image18.jpeg"/><Relationship Id="rId32" Type="http://schemas.openxmlformats.org/officeDocument/2006/relationships/image" Target="media/image26.jpeg"/><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9.jpeg"/><Relationship Id="rId23" Type="http://schemas.openxmlformats.org/officeDocument/2006/relationships/image" Target="media/image17.jpeg"/><Relationship Id="rId28" Type="http://schemas.openxmlformats.org/officeDocument/2006/relationships/image" Target="media/image22.jpeg"/><Relationship Id="rId36" Type="http://schemas.openxmlformats.org/officeDocument/2006/relationships/fontTable" Target="fontTable.xml"/><Relationship Id="rId10" Type="http://schemas.openxmlformats.org/officeDocument/2006/relationships/image" Target="media/image4.jpeg"/><Relationship Id="rId19" Type="http://schemas.openxmlformats.org/officeDocument/2006/relationships/image" Target="media/image13.jpeg"/><Relationship Id="rId31" Type="http://schemas.openxmlformats.org/officeDocument/2006/relationships/image" Target="media/image25.jpeg"/><Relationship Id="rId4" Type="http://schemas.openxmlformats.org/officeDocument/2006/relationships/settings" Target="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image" Target="media/image16.jpeg"/><Relationship Id="rId27" Type="http://schemas.openxmlformats.org/officeDocument/2006/relationships/image" Target="media/image21.jpeg"/><Relationship Id="rId30" Type="http://schemas.openxmlformats.org/officeDocument/2006/relationships/image" Target="media/image24.jpeg"/><Relationship Id="rId35" Type="http://schemas.openxmlformats.org/officeDocument/2006/relationships/image" Target="media/image29.jpeg"/><Relationship Id="rId8" Type="http://schemas.openxmlformats.org/officeDocument/2006/relationships/image" Target="media/image2.jpeg"/><Relationship Id="rId3" Type="http://schemas.openxmlformats.org/officeDocument/2006/relationships/styles" Target="styles.xml"/></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B67AD3-CCC9-41DD-9C2A-5ABF23B938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23</Pages>
  <Words>11310</Words>
  <Characters>64473</Characters>
  <Application>Microsoft Office Word</Application>
  <DocSecurity>0</DocSecurity>
  <Lines>537</Lines>
  <Paragraphs>151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William Soderberg</dc:creator>
  <cp:keywords/>
  <dc:description/>
  <cp:lastModifiedBy>William Soderberg</cp:lastModifiedBy>
  <cp:revision>2</cp:revision>
  <dcterms:created xsi:type="dcterms:W3CDTF">2024-12-16T14:04:00Z</dcterms:created>
  <dcterms:modified xsi:type="dcterms:W3CDTF">2024-12-16T14:04:00Z</dcterms:modified>
</cp:coreProperties>
</file>